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4B" w:rsidRDefault="00F74F4B" w:rsidP="00F74F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93775" cy="1025525"/>
            <wp:effectExtent l="19050" t="0" r="0" b="0"/>
            <wp:docPr id="2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F4B" w:rsidRDefault="00F74F4B" w:rsidP="00F74F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74F4B" w:rsidRDefault="00F74F4B" w:rsidP="00F74F4B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F74F4B" w:rsidRDefault="00F74F4B" w:rsidP="00F74F4B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(МИНЮСТ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РД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)</w:t>
      </w:r>
    </w:p>
    <w:p w:rsidR="00F74F4B" w:rsidRDefault="00F74F4B" w:rsidP="00F74F4B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F74F4B" w:rsidRDefault="00F74F4B" w:rsidP="00F74F4B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F74F4B" w:rsidRDefault="00F74F4B" w:rsidP="00F74F4B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4F4B" w:rsidRPr="00735253" w:rsidRDefault="00F74F4B" w:rsidP="00F74F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2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27» февраля 2019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19</w:t>
      </w:r>
      <w:r w:rsidRPr="00735253">
        <w:rPr>
          <w:rFonts w:ascii="Times New Roman" w:hAnsi="Times New Roman" w:cs="Times New Roman"/>
          <w:sz w:val="28"/>
          <w:szCs w:val="28"/>
        </w:rPr>
        <w:t>-ОД</w:t>
      </w:r>
    </w:p>
    <w:p w:rsidR="00F74F4B" w:rsidRPr="00735253" w:rsidRDefault="00F74F4B" w:rsidP="00F74F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0199" w:rsidRDefault="00700199" w:rsidP="007001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0199">
        <w:rPr>
          <w:rFonts w:ascii="Times New Roman" w:hAnsi="Times New Roman" w:cs="Times New Roman"/>
          <w:sz w:val="28"/>
          <w:szCs w:val="28"/>
        </w:rPr>
        <w:t>г. Махачкала</w:t>
      </w:r>
    </w:p>
    <w:p w:rsidR="00700199" w:rsidRPr="00700199" w:rsidRDefault="00700199" w:rsidP="007001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91CB4" w:rsidRDefault="0092399C" w:rsidP="008370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0199">
        <w:rPr>
          <w:rFonts w:ascii="Times New Roman" w:hAnsi="Times New Roman" w:cs="Times New Roman"/>
          <w:sz w:val="28"/>
          <w:szCs w:val="28"/>
        </w:rPr>
        <w:t>О</w:t>
      </w:r>
      <w:r w:rsidR="008370A4">
        <w:rPr>
          <w:rFonts w:ascii="Times New Roman" w:hAnsi="Times New Roman" w:cs="Times New Roman"/>
          <w:sz w:val="28"/>
          <w:szCs w:val="28"/>
        </w:rPr>
        <w:t>б организации системы внутр</w:t>
      </w:r>
      <w:r w:rsidR="00391CB4">
        <w:rPr>
          <w:rFonts w:ascii="Times New Roman" w:hAnsi="Times New Roman" w:cs="Times New Roman"/>
          <w:sz w:val="28"/>
          <w:szCs w:val="28"/>
        </w:rPr>
        <w:t>еннего обеспечения соответствия</w:t>
      </w:r>
      <w:r w:rsidR="00B861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CB4" w:rsidRDefault="008370A4" w:rsidP="008370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требованиям ан</w:t>
      </w:r>
      <w:r w:rsidR="00391CB4">
        <w:rPr>
          <w:rFonts w:ascii="Times New Roman" w:hAnsi="Times New Roman" w:cs="Times New Roman"/>
          <w:sz w:val="28"/>
          <w:szCs w:val="28"/>
        </w:rPr>
        <w:t>тимонопольного законодательства</w:t>
      </w:r>
    </w:p>
    <w:p w:rsidR="0092399C" w:rsidRDefault="008370A4" w:rsidP="008370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E4F01" w:rsidRPr="000E4F01">
        <w:rPr>
          <w:rFonts w:ascii="Times New Roman" w:hAnsi="Times New Roman" w:cs="Times New Roman"/>
          <w:sz w:val="28"/>
          <w:szCs w:val="28"/>
        </w:rPr>
        <w:t>Министерств</w:t>
      </w:r>
      <w:r w:rsidR="000E4F01">
        <w:rPr>
          <w:rFonts w:ascii="Times New Roman" w:hAnsi="Times New Roman" w:cs="Times New Roman"/>
          <w:sz w:val="28"/>
          <w:szCs w:val="28"/>
        </w:rPr>
        <w:t>е</w:t>
      </w:r>
      <w:r w:rsidR="000E4F01" w:rsidRPr="000E4F01">
        <w:rPr>
          <w:rFonts w:ascii="Times New Roman" w:hAnsi="Times New Roman" w:cs="Times New Roman"/>
          <w:sz w:val="28"/>
          <w:szCs w:val="28"/>
        </w:rPr>
        <w:t xml:space="preserve"> </w:t>
      </w:r>
      <w:r w:rsidR="00B82148">
        <w:rPr>
          <w:rFonts w:ascii="Times New Roman" w:hAnsi="Times New Roman" w:cs="Times New Roman"/>
          <w:sz w:val="28"/>
          <w:szCs w:val="28"/>
        </w:rPr>
        <w:t>юстиции</w:t>
      </w:r>
      <w:r w:rsidR="00391CB4">
        <w:rPr>
          <w:rFonts w:ascii="Times New Roman" w:hAnsi="Times New Roman" w:cs="Times New Roman"/>
          <w:sz w:val="28"/>
          <w:szCs w:val="28"/>
        </w:rPr>
        <w:t xml:space="preserve"> </w:t>
      </w:r>
      <w:r w:rsidR="000E4F01" w:rsidRPr="000E4F01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8370A4" w:rsidRDefault="008370A4" w:rsidP="008370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(Антимонопольном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53891" w:rsidRDefault="00C53891" w:rsidP="00EF5F72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82148" w:rsidRPr="00486C62" w:rsidRDefault="00B82148" w:rsidP="00EF5F72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C7E84" w:rsidRDefault="008A4C00" w:rsidP="00DC7E8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Во исполнение </w:t>
      </w:r>
      <w:r w:rsidR="008370A4" w:rsidRPr="008370A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Национального плана развития конкуренции в Российской Федерации на 2018 - 2020 годы, утвержденного Указом Президента Российской Федерации от 21 декабря 2017 г. </w:t>
      </w:r>
      <w:r w:rsidR="00B82148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8370A4" w:rsidRPr="008370A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618 </w:t>
      </w:r>
      <w:r w:rsidR="00B821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8370A4" w:rsidRPr="008370A4">
        <w:rPr>
          <w:rFonts w:ascii="Times New Roman" w:eastAsia="Times New Roman" w:hAnsi="Times New Roman"/>
          <w:bCs/>
          <w:sz w:val="28"/>
          <w:szCs w:val="28"/>
          <w:lang w:eastAsia="ru-RU"/>
        </w:rPr>
        <w:t>Об основных направлениях государственной политики по развитию конкуренции</w:t>
      </w:r>
      <w:r w:rsidR="00B821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8370A4" w:rsidRPr="008370A4">
        <w:rPr>
          <w:rFonts w:ascii="Times New Roman" w:eastAsia="Times New Roman" w:hAnsi="Times New Roman"/>
          <w:bCs/>
          <w:sz w:val="28"/>
          <w:szCs w:val="28"/>
          <w:lang w:eastAsia="ru-RU"/>
        </w:rPr>
        <w:t>, и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18 октября 2018 г. </w:t>
      </w:r>
      <w:r w:rsidR="00B82148">
        <w:rPr>
          <w:rFonts w:ascii="Times New Roman" w:eastAsia="Times New Roman" w:hAnsi="Times New Roman"/>
          <w:bCs/>
          <w:sz w:val="28"/>
          <w:szCs w:val="28"/>
          <w:lang w:eastAsia="ru-RU"/>
        </w:rPr>
        <w:t>№ 2258-р,</w:t>
      </w:r>
    </w:p>
    <w:p w:rsidR="008370A4" w:rsidRPr="00DC7E84" w:rsidRDefault="008370A4" w:rsidP="00DC7E8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F0536" w:rsidRDefault="00BF0536" w:rsidP="00BF053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BF05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05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 р и к а з ы в а ю: </w:t>
      </w:r>
    </w:p>
    <w:p w:rsidR="00BF0536" w:rsidRPr="00BF0536" w:rsidRDefault="00BF0536" w:rsidP="00BF053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789B" w:rsidRDefault="000E4F01" w:rsidP="00454DB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8A4C00" w:rsidRPr="008A4C00">
        <w:rPr>
          <w:rFonts w:ascii="Times New Roman" w:hAnsi="Times New Roman" w:cs="Times New Roman"/>
          <w:b w:val="0"/>
          <w:sz w:val="28"/>
          <w:szCs w:val="28"/>
        </w:rPr>
        <w:t xml:space="preserve">Утвердить Положение об организации системы внутреннего обеспечения соответствия требованиям антимонопольного законодательства в </w:t>
      </w:r>
      <w:r w:rsidRPr="000E4F01">
        <w:rPr>
          <w:rFonts w:ascii="Times New Roman" w:hAnsi="Times New Roman" w:cs="Times New Roman"/>
          <w:b w:val="0"/>
          <w:sz w:val="28"/>
          <w:szCs w:val="28"/>
        </w:rPr>
        <w:t>Министерств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0E4F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2148">
        <w:rPr>
          <w:rFonts w:ascii="Times New Roman" w:hAnsi="Times New Roman" w:cs="Times New Roman"/>
          <w:b w:val="0"/>
          <w:sz w:val="28"/>
          <w:szCs w:val="28"/>
        </w:rPr>
        <w:t>юстиции</w:t>
      </w:r>
      <w:r w:rsidRPr="000E4F01">
        <w:rPr>
          <w:rFonts w:ascii="Times New Roman" w:hAnsi="Times New Roman" w:cs="Times New Roman"/>
          <w:b w:val="0"/>
          <w:sz w:val="28"/>
          <w:szCs w:val="28"/>
        </w:rPr>
        <w:t xml:space="preserve"> Республики Дагестан </w:t>
      </w:r>
      <w:r w:rsidR="008A4C00" w:rsidRPr="008A4C00">
        <w:rPr>
          <w:rFonts w:ascii="Times New Roman" w:hAnsi="Times New Roman" w:cs="Times New Roman"/>
          <w:b w:val="0"/>
          <w:sz w:val="28"/>
          <w:szCs w:val="28"/>
        </w:rPr>
        <w:t>(прилагается).</w:t>
      </w:r>
    </w:p>
    <w:p w:rsidR="008A4C00" w:rsidRDefault="000E4F01" w:rsidP="00454DB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8A4C00" w:rsidRPr="008A4C00">
        <w:rPr>
          <w:rFonts w:ascii="Times New Roman" w:hAnsi="Times New Roman" w:cs="Times New Roman"/>
          <w:b w:val="0"/>
          <w:sz w:val="28"/>
          <w:szCs w:val="28"/>
        </w:rPr>
        <w:t xml:space="preserve">Определить </w:t>
      </w:r>
      <w:r w:rsidR="00AA4858">
        <w:rPr>
          <w:rFonts w:ascii="Times New Roman" w:hAnsi="Times New Roman" w:cs="Times New Roman"/>
          <w:b w:val="0"/>
          <w:sz w:val="28"/>
          <w:szCs w:val="28"/>
        </w:rPr>
        <w:t>статс</w:t>
      </w:r>
      <w:r w:rsidR="00AE2043">
        <w:rPr>
          <w:rFonts w:ascii="Times New Roman" w:hAnsi="Times New Roman" w:cs="Times New Roman"/>
          <w:b w:val="0"/>
          <w:sz w:val="28"/>
          <w:szCs w:val="28"/>
        </w:rPr>
        <w:t xml:space="preserve">-секретаря – заместителя министра юстиции Республики Дагестан С.В. </w:t>
      </w:r>
      <w:proofErr w:type="spellStart"/>
      <w:r w:rsidR="00AE2043">
        <w:rPr>
          <w:rFonts w:ascii="Times New Roman" w:hAnsi="Times New Roman" w:cs="Times New Roman"/>
          <w:b w:val="0"/>
          <w:sz w:val="28"/>
          <w:szCs w:val="28"/>
        </w:rPr>
        <w:t>Караченцева</w:t>
      </w:r>
      <w:proofErr w:type="spellEnd"/>
      <w:r w:rsidR="00B821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4C00" w:rsidRPr="008A4C00">
        <w:rPr>
          <w:rFonts w:ascii="Times New Roman" w:hAnsi="Times New Roman" w:cs="Times New Roman"/>
          <w:b w:val="0"/>
          <w:sz w:val="28"/>
          <w:szCs w:val="28"/>
        </w:rPr>
        <w:t xml:space="preserve">уполномоченным </w:t>
      </w:r>
      <w:r w:rsidR="00AE2043">
        <w:rPr>
          <w:rFonts w:ascii="Times New Roman" w:hAnsi="Times New Roman" w:cs="Times New Roman"/>
          <w:b w:val="0"/>
          <w:sz w:val="28"/>
          <w:szCs w:val="28"/>
        </w:rPr>
        <w:t>должностным лицом</w:t>
      </w:r>
      <w:r w:rsidR="008A4C00" w:rsidRPr="008A4C00">
        <w:rPr>
          <w:rFonts w:ascii="Times New Roman" w:hAnsi="Times New Roman" w:cs="Times New Roman"/>
          <w:b w:val="0"/>
          <w:sz w:val="28"/>
          <w:szCs w:val="28"/>
        </w:rPr>
        <w:t xml:space="preserve">, ответственным за организацию и функционирование системы внутреннего обеспечения соответствия требованиям антимонопольного законодательства в </w:t>
      </w:r>
      <w:r w:rsidRPr="000E4F01">
        <w:rPr>
          <w:rFonts w:ascii="Times New Roman" w:hAnsi="Times New Roman" w:cs="Times New Roman"/>
          <w:b w:val="0"/>
          <w:sz w:val="28"/>
          <w:szCs w:val="28"/>
        </w:rPr>
        <w:t>Министерств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0E4F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2148">
        <w:rPr>
          <w:rFonts w:ascii="Times New Roman" w:hAnsi="Times New Roman" w:cs="Times New Roman"/>
          <w:b w:val="0"/>
          <w:sz w:val="28"/>
          <w:szCs w:val="28"/>
        </w:rPr>
        <w:t>юстиции</w:t>
      </w:r>
      <w:r w:rsidRPr="000E4F01">
        <w:rPr>
          <w:rFonts w:ascii="Times New Roman" w:hAnsi="Times New Roman" w:cs="Times New Roman"/>
          <w:b w:val="0"/>
          <w:sz w:val="28"/>
          <w:szCs w:val="28"/>
        </w:rPr>
        <w:t xml:space="preserve"> Республики Дагестан </w:t>
      </w:r>
      <w:r w:rsidR="008A4C00" w:rsidRPr="008A4C00">
        <w:rPr>
          <w:rFonts w:ascii="Times New Roman" w:hAnsi="Times New Roman" w:cs="Times New Roman"/>
          <w:b w:val="0"/>
          <w:sz w:val="28"/>
          <w:szCs w:val="28"/>
        </w:rPr>
        <w:t xml:space="preserve">(далее соответственно – уполномоченное </w:t>
      </w:r>
      <w:r w:rsidR="00AE2043">
        <w:rPr>
          <w:rFonts w:ascii="Times New Roman" w:hAnsi="Times New Roman" w:cs="Times New Roman"/>
          <w:b w:val="0"/>
          <w:sz w:val="28"/>
          <w:szCs w:val="28"/>
        </w:rPr>
        <w:t>лицо</w:t>
      </w:r>
      <w:r w:rsidR="008A4C00" w:rsidRPr="008A4C00">
        <w:rPr>
          <w:rFonts w:ascii="Times New Roman" w:hAnsi="Times New Roman" w:cs="Times New Roman"/>
          <w:b w:val="0"/>
          <w:sz w:val="28"/>
          <w:szCs w:val="28"/>
        </w:rPr>
        <w:t>, министерство).</w:t>
      </w:r>
    </w:p>
    <w:p w:rsidR="000E4F01" w:rsidRPr="000E4F01" w:rsidRDefault="000E4F01" w:rsidP="000E4F0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0E4F01">
        <w:rPr>
          <w:rFonts w:ascii="Times New Roman" w:hAnsi="Times New Roman" w:cs="Times New Roman"/>
          <w:b w:val="0"/>
          <w:sz w:val="28"/>
          <w:szCs w:val="28"/>
        </w:rPr>
        <w:t>Руководителям структурных подразделений министерства:</w:t>
      </w:r>
    </w:p>
    <w:p w:rsidR="000E4F01" w:rsidRPr="000E4F01" w:rsidRDefault="000E4F01" w:rsidP="000E4F0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4F01">
        <w:rPr>
          <w:rFonts w:ascii="Times New Roman" w:hAnsi="Times New Roman" w:cs="Times New Roman"/>
          <w:b w:val="0"/>
          <w:sz w:val="28"/>
          <w:szCs w:val="28"/>
        </w:rPr>
        <w:t>3.1.</w:t>
      </w:r>
      <w:r w:rsidR="00B821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4F01">
        <w:rPr>
          <w:rFonts w:ascii="Times New Roman" w:hAnsi="Times New Roman" w:cs="Times New Roman"/>
          <w:b w:val="0"/>
          <w:sz w:val="28"/>
          <w:szCs w:val="28"/>
        </w:rPr>
        <w:t>Организовать работу в возглавляемых  подразделениях в соответствии с Положением об организации системы внутреннего обеспечения соответствия требованиям антимонопольного законодательства в Министерств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0E4F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2148">
        <w:rPr>
          <w:rFonts w:ascii="Times New Roman" w:hAnsi="Times New Roman" w:cs="Times New Roman"/>
          <w:b w:val="0"/>
          <w:sz w:val="28"/>
          <w:szCs w:val="28"/>
        </w:rPr>
        <w:t>юстиции</w:t>
      </w:r>
      <w:r w:rsidRPr="000E4F01">
        <w:rPr>
          <w:rFonts w:ascii="Times New Roman" w:hAnsi="Times New Roman" w:cs="Times New Roman"/>
          <w:b w:val="0"/>
          <w:sz w:val="28"/>
          <w:szCs w:val="28"/>
        </w:rPr>
        <w:t xml:space="preserve"> Республики Дагестан, утвержденным настоящим приказом.</w:t>
      </w:r>
    </w:p>
    <w:p w:rsidR="000E4F01" w:rsidRPr="000E4F01" w:rsidRDefault="000E4F01" w:rsidP="000E4F0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3.2.</w:t>
      </w:r>
      <w:r w:rsidR="00B821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4F01">
        <w:rPr>
          <w:rFonts w:ascii="Times New Roman" w:hAnsi="Times New Roman" w:cs="Times New Roman"/>
          <w:b w:val="0"/>
          <w:sz w:val="28"/>
          <w:szCs w:val="28"/>
        </w:rPr>
        <w:t>Обеспечить внесение изменений в должностные регламенты государственных гражданских служащих и должностные инструкции работников возглавляемых подразделений в части требований о знании и изучении антимонопольного законод</w:t>
      </w:r>
      <w:r>
        <w:rPr>
          <w:rFonts w:ascii="Times New Roman" w:hAnsi="Times New Roman" w:cs="Times New Roman"/>
          <w:b w:val="0"/>
          <w:sz w:val="28"/>
          <w:szCs w:val="28"/>
        </w:rPr>
        <w:t>ательства Российской Федерации.</w:t>
      </w:r>
    </w:p>
    <w:p w:rsidR="000E4F01" w:rsidRPr="000E4F01" w:rsidRDefault="000E4F01" w:rsidP="000E4F0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B82148">
        <w:rPr>
          <w:rFonts w:ascii="Times New Roman" w:hAnsi="Times New Roman" w:cs="Times New Roman"/>
          <w:b w:val="0"/>
          <w:sz w:val="28"/>
          <w:szCs w:val="28"/>
        </w:rPr>
        <w:t>О</w:t>
      </w:r>
      <w:r w:rsidR="00F27B07">
        <w:rPr>
          <w:rFonts w:ascii="Times New Roman" w:hAnsi="Times New Roman" w:cs="Times New Roman"/>
          <w:b w:val="0"/>
          <w:sz w:val="28"/>
          <w:szCs w:val="28"/>
        </w:rPr>
        <w:t xml:space="preserve">тделу </w:t>
      </w:r>
      <w:r w:rsidR="00B82148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государственной службы, кадров и делопроизводства </w:t>
      </w:r>
      <w:r w:rsidRPr="000E4F01">
        <w:rPr>
          <w:rFonts w:ascii="Times New Roman" w:hAnsi="Times New Roman" w:cs="Times New Roman"/>
          <w:b w:val="0"/>
          <w:sz w:val="28"/>
          <w:szCs w:val="28"/>
        </w:rPr>
        <w:t>обеспечить ознакомление государственных гражданских служащих и работников министерства с настоящим приказом.</w:t>
      </w:r>
    </w:p>
    <w:p w:rsidR="000E4F01" w:rsidRPr="000E4F01" w:rsidRDefault="000E4F01" w:rsidP="000E4F0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</w:t>
      </w:r>
      <w:r w:rsidR="007267FB">
        <w:rPr>
          <w:rFonts w:ascii="Times New Roman" w:hAnsi="Times New Roman" w:cs="Times New Roman"/>
          <w:b w:val="0"/>
          <w:sz w:val="28"/>
          <w:szCs w:val="28"/>
        </w:rPr>
        <w:t xml:space="preserve"> Отделу </w:t>
      </w:r>
      <w:r w:rsidR="007267FB" w:rsidRPr="007267FB">
        <w:rPr>
          <w:rFonts w:ascii="Times New Roman" w:hAnsi="Times New Roman" w:cs="Times New Roman"/>
          <w:b w:val="0"/>
          <w:sz w:val="28"/>
          <w:szCs w:val="28"/>
        </w:rPr>
        <w:t>информационных технологий и использования документов</w:t>
      </w:r>
      <w:r w:rsidRPr="00F27B0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E4F01" w:rsidRDefault="000E4F01" w:rsidP="000E4F0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4F01">
        <w:rPr>
          <w:rFonts w:ascii="Times New Roman" w:hAnsi="Times New Roman" w:cs="Times New Roman"/>
          <w:b w:val="0"/>
          <w:sz w:val="28"/>
          <w:szCs w:val="28"/>
        </w:rPr>
        <w:t>5.1.</w:t>
      </w:r>
      <w:r w:rsidR="007267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4F01">
        <w:rPr>
          <w:rFonts w:ascii="Times New Roman" w:hAnsi="Times New Roman" w:cs="Times New Roman"/>
          <w:b w:val="0"/>
          <w:sz w:val="28"/>
          <w:szCs w:val="28"/>
        </w:rPr>
        <w:t xml:space="preserve">Обеспечить возможность направления замечаний и предложений организаций и граждан с использованием сети Интернет на нормативные правовые акты, проекты нормативных правовых актов министерства и иных органов исполнительной власти </w:t>
      </w:r>
      <w:r>
        <w:rPr>
          <w:rFonts w:ascii="Times New Roman" w:hAnsi="Times New Roman" w:cs="Times New Roman"/>
          <w:b w:val="0"/>
          <w:sz w:val="28"/>
          <w:szCs w:val="28"/>
        </w:rPr>
        <w:t>Республики Дагестан</w:t>
      </w:r>
      <w:r w:rsidRPr="000E4F01">
        <w:rPr>
          <w:rFonts w:ascii="Times New Roman" w:hAnsi="Times New Roman" w:cs="Times New Roman"/>
          <w:b w:val="0"/>
          <w:sz w:val="28"/>
          <w:szCs w:val="28"/>
        </w:rPr>
        <w:t>, размещенные на их официальных сайтах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82148" w:rsidRDefault="000E4F01" w:rsidP="00B821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5.2. </w:t>
      </w:r>
      <w:r w:rsidRPr="000E4F01">
        <w:rPr>
          <w:rFonts w:ascii="Times New Roman" w:hAnsi="Times New Roman" w:cs="Times New Roman"/>
          <w:b w:val="0"/>
          <w:sz w:val="28"/>
          <w:szCs w:val="28"/>
        </w:rPr>
        <w:t>Разместить настоящий приказ на официальном сайте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4F01">
        <w:rPr>
          <w:rFonts w:ascii="Times New Roman" w:hAnsi="Times New Roman" w:cs="Times New Roman"/>
          <w:b w:val="0"/>
          <w:sz w:val="28"/>
          <w:szCs w:val="28"/>
        </w:rPr>
        <w:t xml:space="preserve">Министерства </w:t>
      </w:r>
      <w:r w:rsidR="007267FB">
        <w:rPr>
          <w:rFonts w:ascii="Times New Roman" w:hAnsi="Times New Roman" w:cs="Times New Roman"/>
          <w:b w:val="0"/>
          <w:sz w:val="28"/>
          <w:szCs w:val="28"/>
        </w:rPr>
        <w:t>юстиции Республики Дагестан.</w:t>
      </w:r>
    </w:p>
    <w:p w:rsidR="00B82148" w:rsidRPr="00B82148" w:rsidRDefault="007267FB" w:rsidP="00B82148">
      <w:pPr>
        <w:pStyle w:val="ConsPlusNormal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</w:t>
      </w:r>
      <w:r w:rsidR="00DC7E84" w:rsidRPr="00B82148">
        <w:rPr>
          <w:rFonts w:ascii="Times New Roman" w:hAnsi="Times New Roman"/>
          <w:b w:val="0"/>
          <w:sz w:val="28"/>
          <w:szCs w:val="28"/>
        </w:rPr>
        <w:t xml:space="preserve">. </w:t>
      </w:r>
      <w:r w:rsidR="00EF177D" w:rsidRPr="00B82148">
        <w:rPr>
          <w:rFonts w:ascii="Times New Roman" w:hAnsi="Times New Roman"/>
          <w:b w:val="0"/>
          <w:sz w:val="28"/>
          <w:szCs w:val="28"/>
        </w:rPr>
        <w:t>Контроль за исполнением настоящего приказа оставляю за собой</w:t>
      </w:r>
      <w:r w:rsidR="00DC7E84" w:rsidRPr="00B82148">
        <w:rPr>
          <w:rFonts w:ascii="Times New Roman" w:hAnsi="Times New Roman"/>
          <w:b w:val="0"/>
          <w:sz w:val="28"/>
          <w:szCs w:val="28"/>
        </w:rPr>
        <w:t>.</w:t>
      </w:r>
    </w:p>
    <w:p w:rsidR="00DC7E84" w:rsidRDefault="007267FB" w:rsidP="00B82148">
      <w:pPr>
        <w:pStyle w:val="ConsPlusNormal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7</w:t>
      </w:r>
      <w:r w:rsidR="00DC7E84" w:rsidRPr="00B82148">
        <w:rPr>
          <w:rFonts w:ascii="Times New Roman" w:hAnsi="Times New Roman"/>
          <w:b w:val="0"/>
          <w:sz w:val="28"/>
          <w:szCs w:val="28"/>
        </w:rPr>
        <w:t>. Настоящий приказ вступает в силу в установленном порядке.</w:t>
      </w:r>
    </w:p>
    <w:p w:rsidR="00B82148" w:rsidRDefault="00B82148" w:rsidP="00B82148">
      <w:pPr>
        <w:pStyle w:val="ConsPlusNormal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B82148" w:rsidRDefault="00B82148" w:rsidP="00B82148">
      <w:pPr>
        <w:pStyle w:val="ConsPlusNormal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B82148" w:rsidRPr="00B82148" w:rsidRDefault="00B82148" w:rsidP="00B82148">
      <w:pPr>
        <w:pStyle w:val="ConsPlusNormal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Министр                                                                                    К.С.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Сефикурбанов</w:t>
      </w:r>
      <w:proofErr w:type="spellEnd"/>
    </w:p>
    <w:p w:rsidR="002C29DF" w:rsidRDefault="002C29DF" w:rsidP="003B047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82148" w:rsidRDefault="00B82148" w:rsidP="003B047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Pr="00C1663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177D" w:rsidRPr="00C16639" w:rsidRDefault="00EF177D" w:rsidP="00DE5DC7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F177D" w:rsidRPr="00C16639" w:rsidRDefault="00EF177D" w:rsidP="00DE5DC7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F177D" w:rsidRPr="00C16639" w:rsidRDefault="00EF177D" w:rsidP="00DE5DC7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F177D" w:rsidRPr="00C16639" w:rsidRDefault="00EF177D" w:rsidP="00DE5DC7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F177D" w:rsidRPr="00C16639" w:rsidRDefault="00EF177D" w:rsidP="00DE5DC7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F177D" w:rsidRDefault="00EF177D" w:rsidP="00DE5DC7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82148" w:rsidRDefault="00B82148" w:rsidP="00DE5DC7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82148" w:rsidRDefault="00B82148" w:rsidP="00DE5DC7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82148" w:rsidRPr="00C16639" w:rsidRDefault="00B82148" w:rsidP="00DE5DC7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F177D" w:rsidRDefault="00EF177D" w:rsidP="00DE5DC7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7267FB" w:rsidRDefault="007267FB" w:rsidP="00DE5DC7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74F4B" w:rsidRDefault="00F74F4B" w:rsidP="00DE5DC7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74F4B" w:rsidRDefault="00F74F4B" w:rsidP="00DE5DC7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74F4B" w:rsidRDefault="00F74F4B" w:rsidP="00DE5DC7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74F4B" w:rsidRDefault="00F74F4B" w:rsidP="00DE5DC7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74F4B" w:rsidRDefault="00F74F4B" w:rsidP="00DE5DC7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7267FB" w:rsidRPr="00C16639" w:rsidRDefault="007267FB" w:rsidP="00DE5DC7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E5DC7" w:rsidRPr="007267FB" w:rsidRDefault="00EF177D" w:rsidP="00DE5DC7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7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DE5DC7" w:rsidRPr="007267FB" w:rsidRDefault="00EF177D" w:rsidP="00DE5DC7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7FB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приказу </w:t>
      </w:r>
      <w:r w:rsidR="007267FB">
        <w:rPr>
          <w:rFonts w:ascii="Times New Roman" w:eastAsia="Times New Roman" w:hAnsi="Times New Roman"/>
          <w:sz w:val="28"/>
          <w:szCs w:val="28"/>
          <w:lang w:eastAsia="ru-RU"/>
        </w:rPr>
        <w:t>Министерства юстиции Республики Дагестан</w:t>
      </w:r>
    </w:p>
    <w:p w:rsidR="00DE5DC7" w:rsidRPr="007267FB" w:rsidRDefault="00DE5DC7" w:rsidP="00DE5DC7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7F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A41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4190" w:rsidRPr="00AA419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27</w:t>
      </w:r>
      <w:r w:rsidR="00EF177D" w:rsidRPr="007267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67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177D" w:rsidRPr="007267FB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7267FB">
        <w:rPr>
          <w:rFonts w:ascii="Times New Roman" w:eastAsia="Times New Roman" w:hAnsi="Times New Roman"/>
          <w:sz w:val="28"/>
          <w:szCs w:val="28"/>
          <w:lang w:eastAsia="ru-RU"/>
        </w:rPr>
        <w:t xml:space="preserve">  201</w:t>
      </w:r>
      <w:r w:rsidR="00EF177D" w:rsidRPr="007267F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267F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AA41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4190" w:rsidRPr="00AA419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19-ОД</w:t>
      </w:r>
    </w:p>
    <w:p w:rsidR="00DE5DC7" w:rsidRPr="007267FB" w:rsidRDefault="00DE5DC7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DE5DC7" w:rsidRDefault="00DE5DC7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177D" w:rsidRPr="00EF177D" w:rsidRDefault="00EF177D" w:rsidP="00EF177D">
      <w:pPr>
        <w:pStyle w:val="ConsPlusTitle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177D">
        <w:rPr>
          <w:rFonts w:ascii="Times New Roman" w:hAnsi="Times New Roman" w:cs="Times New Roman"/>
          <w:sz w:val="28"/>
          <w:szCs w:val="28"/>
        </w:rPr>
        <w:t>Положение</w:t>
      </w:r>
    </w:p>
    <w:p w:rsidR="007267FB" w:rsidRDefault="00EF177D" w:rsidP="00EF1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77D">
        <w:rPr>
          <w:rFonts w:ascii="Times New Roman" w:hAnsi="Times New Roman"/>
          <w:b/>
          <w:sz w:val="28"/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в Министерстве </w:t>
      </w:r>
      <w:r w:rsidR="007267FB">
        <w:rPr>
          <w:rFonts w:ascii="Times New Roman" w:hAnsi="Times New Roman"/>
          <w:b/>
          <w:sz w:val="28"/>
          <w:szCs w:val="28"/>
        </w:rPr>
        <w:t>юстиции</w:t>
      </w:r>
    </w:p>
    <w:p w:rsidR="00EF177D" w:rsidRPr="00EF177D" w:rsidRDefault="00EF177D" w:rsidP="00EF1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77D">
        <w:rPr>
          <w:rFonts w:ascii="Times New Roman" w:hAnsi="Times New Roman"/>
          <w:b/>
          <w:sz w:val="28"/>
          <w:szCs w:val="28"/>
        </w:rPr>
        <w:t xml:space="preserve"> Республики Дагестан</w:t>
      </w:r>
    </w:p>
    <w:p w:rsidR="00EF177D" w:rsidRPr="00EF177D" w:rsidRDefault="00EF177D" w:rsidP="00EF177D">
      <w:pPr>
        <w:pStyle w:val="ConsPlusNormal"/>
        <w:widowControl w:val="0"/>
        <w:numPr>
          <w:ilvl w:val="0"/>
          <w:numId w:val="1"/>
        </w:numPr>
        <w:spacing w:before="240" w:after="120"/>
        <w:ind w:left="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177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F177D" w:rsidRPr="00EF177D" w:rsidRDefault="007267FB" w:rsidP="00EF177D">
      <w:pPr>
        <w:pStyle w:val="ConsPlusNormal"/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177D" w:rsidRPr="00EF177D">
        <w:rPr>
          <w:rFonts w:ascii="Times New Roman" w:hAnsi="Times New Roman" w:cs="Times New Roman"/>
          <w:b w:val="0"/>
          <w:sz w:val="28"/>
          <w:szCs w:val="28"/>
        </w:rPr>
        <w:t xml:space="preserve">Настоящее Положение разработано </w:t>
      </w:r>
      <w:r w:rsidR="00EF177D" w:rsidRPr="00EF177D">
        <w:rPr>
          <w:rFonts w:ascii="Times New Roman" w:hAnsi="Times New Roman"/>
          <w:b w:val="0"/>
          <w:sz w:val="28"/>
          <w:szCs w:val="28"/>
          <w:lang w:eastAsia="ar-SA"/>
        </w:rPr>
        <w:t xml:space="preserve">во исполнение Указа Президента </w:t>
      </w:r>
      <w:r>
        <w:rPr>
          <w:rFonts w:ascii="Times New Roman" w:hAnsi="Times New Roman"/>
          <w:b w:val="0"/>
          <w:sz w:val="28"/>
          <w:szCs w:val="28"/>
          <w:lang w:eastAsia="ar-SA"/>
        </w:rPr>
        <w:t xml:space="preserve">Российской Федерации от 21 декабря </w:t>
      </w:r>
      <w:r w:rsidR="00EF177D" w:rsidRPr="00EF177D">
        <w:rPr>
          <w:rFonts w:ascii="Times New Roman" w:hAnsi="Times New Roman"/>
          <w:b w:val="0"/>
          <w:sz w:val="28"/>
          <w:szCs w:val="28"/>
          <w:lang w:eastAsia="ar-SA"/>
        </w:rPr>
        <w:t>2017</w:t>
      </w:r>
      <w:r>
        <w:rPr>
          <w:rFonts w:ascii="Times New Roman" w:hAnsi="Times New Roman"/>
          <w:b w:val="0"/>
          <w:sz w:val="28"/>
          <w:szCs w:val="28"/>
          <w:lang w:eastAsia="ar-SA"/>
        </w:rPr>
        <w:t xml:space="preserve"> г.</w:t>
      </w:r>
      <w:r w:rsidR="00EF177D" w:rsidRPr="00EF177D">
        <w:rPr>
          <w:rFonts w:ascii="Times New Roman" w:hAnsi="Times New Roman"/>
          <w:b w:val="0"/>
          <w:sz w:val="28"/>
          <w:szCs w:val="28"/>
          <w:lang w:eastAsia="ar-SA"/>
        </w:rPr>
        <w:t xml:space="preserve"> № 618 «Об основных направлениях государственной политики по развитию конкуренции» и определяет порядок</w:t>
      </w:r>
      <w:r w:rsidR="00EF177D" w:rsidRPr="00EF177D">
        <w:rPr>
          <w:rFonts w:ascii="Times New Roman" w:hAnsi="Times New Roman" w:cs="Times New Roman"/>
          <w:b w:val="0"/>
          <w:sz w:val="28"/>
          <w:szCs w:val="28"/>
        </w:rPr>
        <w:t xml:space="preserve"> внутреннего обеспечения соответствия требованиям антимонопольного законодательства в </w:t>
      </w:r>
      <w:r w:rsidR="00C16639">
        <w:rPr>
          <w:rFonts w:ascii="Times New Roman" w:hAnsi="Times New Roman" w:cs="Times New Roman"/>
          <w:b w:val="0"/>
          <w:sz w:val="28"/>
          <w:szCs w:val="28"/>
        </w:rPr>
        <w:t>М</w:t>
      </w:r>
      <w:r w:rsidR="00EF177D" w:rsidRPr="00EF177D">
        <w:rPr>
          <w:rFonts w:ascii="Times New Roman" w:hAnsi="Times New Roman" w:cs="Times New Roman"/>
          <w:b w:val="0"/>
          <w:sz w:val="28"/>
          <w:szCs w:val="28"/>
        </w:rPr>
        <w:t>инистерстве экономи</w:t>
      </w:r>
      <w:r w:rsidR="00C16639">
        <w:rPr>
          <w:rFonts w:ascii="Times New Roman" w:hAnsi="Times New Roman" w:cs="Times New Roman"/>
          <w:b w:val="0"/>
          <w:sz w:val="28"/>
          <w:szCs w:val="28"/>
        </w:rPr>
        <w:t>ки и территориального</w:t>
      </w:r>
      <w:r w:rsidR="00EF177D" w:rsidRPr="00EF177D">
        <w:rPr>
          <w:rFonts w:ascii="Times New Roman" w:hAnsi="Times New Roman" w:cs="Times New Roman"/>
          <w:b w:val="0"/>
          <w:sz w:val="28"/>
          <w:szCs w:val="28"/>
        </w:rPr>
        <w:t xml:space="preserve"> развития </w:t>
      </w:r>
      <w:r w:rsidR="00C16639">
        <w:rPr>
          <w:rFonts w:ascii="Times New Roman" w:hAnsi="Times New Roman" w:cs="Times New Roman"/>
          <w:b w:val="0"/>
          <w:sz w:val="28"/>
          <w:szCs w:val="28"/>
        </w:rPr>
        <w:t>Республики Дагестан</w:t>
      </w:r>
      <w:r w:rsidR="00EF177D" w:rsidRPr="00EF177D">
        <w:rPr>
          <w:rFonts w:ascii="Times New Roman" w:hAnsi="Times New Roman" w:cs="Times New Roman"/>
          <w:b w:val="0"/>
          <w:sz w:val="28"/>
          <w:szCs w:val="28"/>
        </w:rPr>
        <w:t xml:space="preserve">  (далее - антимонопольный </w:t>
      </w:r>
      <w:proofErr w:type="spellStart"/>
      <w:r w:rsidR="00EF177D" w:rsidRPr="00EF177D">
        <w:rPr>
          <w:rFonts w:ascii="Times New Roman" w:hAnsi="Times New Roman" w:cs="Times New Roman"/>
          <w:b w:val="0"/>
          <w:sz w:val="28"/>
          <w:szCs w:val="28"/>
        </w:rPr>
        <w:t>комплаенс</w:t>
      </w:r>
      <w:proofErr w:type="spellEnd"/>
      <w:r w:rsidR="00EF177D" w:rsidRPr="00EF177D">
        <w:rPr>
          <w:rFonts w:ascii="Times New Roman" w:hAnsi="Times New Roman" w:cs="Times New Roman"/>
          <w:b w:val="0"/>
          <w:sz w:val="28"/>
          <w:szCs w:val="28"/>
        </w:rPr>
        <w:t xml:space="preserve">). </w:t>
      </w:r>
    </w:p>
    <w:p w:rsidR="00EF177D" w:rsidRPr="00EF177D" w:rsidRDefault="00EF177D" w:rsidP="00EF177D">
      <w:pPr>
        <w:pStyle w:val="ConsPlusNormal"/>
        <w:widowControl w:val="0"/>
        <w:numPr>
          <w:ilvl w:val="1"/>
          <w:numId w:val="1"/>
        </w:numPr>
        <w:tabs>
          <w:tab w:val="left" w:pos="851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Термины и понятия, используемые в настоящем Положении, применяются в значениях, определенных антимонопольным законодательством Российской Федерации и иными нормативными правовыми актами о защите конкуренции.</w:t>
      </w:r>
    </w:p>
    <w:p w:rsidR="00EF177D" w:rsidRPr="00EF177D" w:rsidRDefault="00EF177D" w:rsidP="00EF177D">
      <w:pPr>
        <w:pStyle w:val="ConsPlusNormal"/>
        <w:widowControl w:val="0"/>
        <w:numPr>
          <w:ilvl w:val="1"/>
          <w:numId w:val="1"/>
        </w:numPr>
        <w:tabs>
          <w:tab w:val="left" w:pos="851"/>
          <w:tab w:val="left" w:pos="1134"/>
        </w:tabs>
        <w:ind w:left="0" w:firstLine="567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EF177D">
        <w:rPr>
          <w:rFonts w:ascii="Times New Roman" w:hAnsi="Times New Roman"/>
          <w:b w:val="0"/>
          <w:sz w:val="28"/>
          <w:szCs w:val="28"/>
        </w:rPr>
        <w:t xml:space="preserve">Целями антимонопольного </w:t>
      </w:r>
      <w:proofErr w:type="spellStart"/>
      <w:r w:rsidRPr="00EF177D">
        <w:rPr>
          <w:rFonts w:ascii="Times New Roman" w:hAnsi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/>
          <w:b w:val="0"/>
          <w:sz w:val="28"/>
          <w:szCs w:val="28"/>
        </w:rPr>
        <w:t xml:space="preserve"> являются:</w:t>
      </w:r>
    </w:p>
    <w:p w:rsidR="00EF177D" w:rsidRPr="00EF177D" w:rsidRDefault="00EF177D" w:rsidP="00EF177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EF177D">
        <w:rPr>
          <w:rFonts w:ascii="Times New Roman" w:hAnsi="Times New Roman"/>
          <w:b w:val="0"/>
          <w:sz w:val="28"/>
          <w:szCs w:val="28"/>
        </w:rPr>
        <w:t xml:space="preserve">- </w:t>
      </w:r>
      <w:r w:rsidR="00C16639">
        <w:rPr>
          <w:rFonts w:ascii="Times New Roman" w:hAnsi="Times New Roman"/>
          <w:b w:val="0"/>
          <w:sz w:val="28"/>
          <w:szCs w:val="28"/>
        </w:rPr>
        <w:t xml:space="preserve"> </w:t>
      </w:r>
      <w:r w:rsidRPr="00EF177D">
        <w:rPr>
          <w:rFonts w:ascii="Times New Roman" w:hAnsi="Times New Roman"/>
          <w:b w:val="0"/>
          <w:sz w:val="28"/>
          <w:szCs w:val="28"/>
        </w:rPr>
        <w:t>обеспечение соответствия</w:t>
      </w:r>
      <w:r w:rsidRPr="00EF177D">
        <w:rPr>
          <w:rFonts w:ascii="Times New Roman" w:hAnsi="Times New Roman"/>
          <w:b w:val="0"/>
          <w:sz w:val="28"/>
          <w:szCs w:val="28"/>
        </w:rPr>
        <w:tab/>
        <w:t>деятельности министерства требованиям антимонопольного законодательства;</w:t>
      </w:r>
    </w:p>
    <w:p w:rsidR="00EF177D" w:rsidRPr="00EF177D" w:rsidRDefault="00EF177D" w:rsidP="00EF177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EF177D">
        <w:rPr>
          <w:rFonts w:ascii="Times New Roman" w:hAnsi="Times New Roman"/>
          <w:b w:val="0"/>
          <w:sz w:val="28"/>
          <w:szCs w:val="28"/>
        </w:rPr>
        <w:t>-</w:t>
      </w:r>
      <w:r w:rsidR="00C16639">
        <w:rPr>
          <w:rFonts w:ascii="Times New Roman" w:hAnsi="Times New Roman"/>
          <w:b w:val="0"/>
          <w:sz w:val="28"/>
          <w:szCs w:val="28"/>
        </w:rPr>
        <w:t xml:space="preserve"> </w:t>
      </w:r>
      <w:r w:rsidRPr="00EF177D">
        <w:rPr>
          <w:rFonts w:ascii="Times New Roman" w:hAnsi="Times New Roman"/>
          <w:b w:val="0"/>
          <w:sz w:val="28"/>
          <w:szCs w:val="28"/>
        </w:rPr>
        <w:t>профилактика и сокращение количества нарушений требований антимонопольного законодательства в деятельности министерства;</w:t>
      </w:r>
    </w:p>
    <w:p w:rsidR="00EF177D" w:rsidRPr="00EF177D" w:rsidRDefault="00EF177D" w:rsidP="00EF177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EF177D">
        <w:rPr>
          <w:rFonts w:ascii="Times New Roman" w:hAnsi="Times New Roman"/>
          <w:b w:val="0"/>
          <w:sz w:val="28"/>
          <w:szCs w:val="28"/>
        </w:rPr>
        <w:t>- повышение уровня правовой культуры в министерстве.</w:t>
      </w:r>
    </w:p>
    <w:p w:rsidR="00EF177D" w:rsidRPr="00EF177D" w:rsidRDefault="00EF177D" w:rsidP="00EF177D">
      <w:pPr>
        <w:pStyle w:val="ConsPlusNormal"/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EF177D">
        <w:rPr>
          <w:rFonts w:ascii="Times New Roman" w:hAnsi="Times New Roman"/>
          <w:b w:val="0"/>
          <w:sz w:val="28"/>
          <w:szCs w:val="28"/>
        </w:rPr>
        <w:t xml:space="preserve">Задачи антимонопольного </w:t>
      </w:r>
      <w:proofErr w:type="spellStart"/>
      <w:r w:rsidRPr="00EF177D">
        <w:rPr>
          <w:rFonts w:ascii="Times New Roman" w:hAnsi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/>
          <w:b w:val="0"/>
          <w:sz w:val="28"/>
          <w:szCs w:val="28"/>
        </w:rPr>
        <w:t>:</w:t>
      </w:r>
    </w:p>
    <w:p w:rsidR="00EF177D" w:rsidRPr="00EF177D" w:rsidRDefault="00EF177D" w:rsidP="00EF177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EF177D">
        <w:rPr>
          <w:rFonts w:ascii="Times New Roman" w:hAnsi="Times New Roman"/>
          <w:b w:val="0"/>
          <w:sz w:val="28"/>
          <w:szCs w:val="28"/>
        </w:rPr>
        <w:t>-  выявление рисков нарушений антимонопольного законодательства;</w:t>
      </w:r>
    </w:p>
    <w:p w:rsidR="00EF177D" w:rsidRPr="00EF177D" w:rsidRDefault="00EF177D" w:rsidP="00EF177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EF177D">
        <w:rPr>
          <w:rFonts w:ascii="Times New Roman" w:hAnsi="Times New Roman"/>
          <w:b w:val="0"/>
          <w:sz w:val="28"/>
          <w:szCs w:val="28"/>
        </w:rPr>
        <w:t>-  управление рисками нарушений антимонопольного законодательства;</w:t>
      </w:r>
    </w:p>
    <w:p w:rsidR="00EF177D" w:rsidRPr="00EF177D" w:rsidRDefault="00C16639" w:rsidP="00EF177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="00EF177D" w:rsidRPr="00EF177D">
        <w:rPr>
          <w:rFonts w:ascii="Times New Roman" w:hAnsi="Times New Roman"/>
          <w:b w:val="0"/>
          <w:sz w:val="28"/>
          <w:szCs w:val="28"/>
        </w:rPr>
        <w:t>контроль соответствия деятельности министерства требованиям антимонопольного законодательства;</w:t>
      </w:r>
    </w:p>
    <w:p w:rsidR="00EF177D" w:rsidRPr="00EF177D" w:rsidRDefault="00EF177D" w:rsidP="00EF177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/>
          <w:b w:val="0"/>
          <w:sz w:val="28"/>
          <w:szCs w:val="28"/>
        </w:rPr>
        <w:t>-  оценка эффективности организации</w:t>
      </w:r>
      <w:r w:rsidRPr="00EF177D">
        <w:rPr>
          <w:rFonts w:ascii="Times New Roman" w:hAnsi="Times New Roman"/>
          <w:b w:val="0"/>
          <w:sz w:val="28"/>
          <w:szCs w:val="28"/>
        </w:rPr>
        <w:tab/>
        <w:t xml:space="preserve">в министерстве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F177D" w:rsidRPr="00EF177D" w:rsidRDefault="00EF177D" w:rsidP="00EF177D">
      <w:pPr>
        <w:pStyle w:val="ConsPlusNormal"/>
        <w:widowControl w:val="0"/>
        <w:numPr>
          <w:ilvl w:val="1"/>
          <w:numId w:val="1"/>
        </w:numPr>
        <w:tabs>
          <w:tab w:val="left" w:pos="1134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Принципы 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F177D" w:rsidRPr="00EF177D" w:rsidRDefault="00EF177D" w:rsidP="00EF177D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ab/>
        <w:t>законность;</w:t>
      </w:r>
    </w:p>
    <w:p w:rsidR="00EF177D" w:rsidRPr="00EF177D" w:rsidRDefault="00EF177D" w:rsidP="00EF177D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ab/>
        <w:t>регулярность оценки рисков нарушения антимонопольного законодательства;</w:t>
      </w:r>
    </w:p>
    <w:p w:rsidR="00EF177D" w:rsidRPr="00EF177D" w:rsidRDefault="00EF177D" w:rsidP="00EF177D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ab/>
        <w:t xml:space="preserve">информационная открытость действующего в министерстве 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F177D" w:rsidRPr="00EF177D" w:rsidRDefault="00EF177D" w:rsidP="00EF177D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ab/>
        <w:t xml:space="preserve">непрерывность анализа и функционирования 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F177D" w:rsidRPr="00EF177D" w:rsidRDefault="00EF177D" w:rsidP="00EF177D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-     совершенствование 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F177D" w:rsidRPr="00C16639" w:rsidRDefault="00EF177D" w:rsidP="00C16639">
      <w:pPr>
        <w:pStyle w:val="ConsPlusNormal"/>
        <w:widowControl w:val="0"/>
        <w:numPr>
          <w:ilvl w:val="0"/>
          <w:numId w:val="1"/>
        </w:numPr>
        <w:spacing w:before="240" w:after="120"/>
        <w:ind w:left="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16639">
        <w:rPr>
          <w:rFonts w:ascii="Times New Roman" w:hAnsi="Times New Roman" w:cs="Times New Roman"/>
          <w:sz w:val="28"/>
          <w:szCs w:val="28"/>
        </w:rPr>
        <w:t xml:space="preserve">Уполномоченное </w:t>
      </w:r>
      <w:r w:rsidR="00AE2043">
        <w:rPr>
          <w:rFonts w:ascii="Times New Roman" w:hAnsi="Times New Roman" w:cs="Times New Roman"/>
          <w:sz w:val="28"/>
          <w:szCs w:val="28"/>
        </w:rPr>
        <w:t>лицо</w:t>
      </w:r>
    </w:p>
    <w:p w:rsidR="00EF177D" w:rsidRPr="00EF177D" w:rsidRDefault="00EF177D" w:rsidP="00EF177D">
      <w:pPr>
        <w:pStyle w:val="ConsPlusNormal"/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Основными функциональными обязанностями уполномоченного </w:t>
      </w:r>
      <w:r w:rsidR="00AE2043">
        <w:rPr>
          <w:rFonts w:ascii="Times New Roman" w:hAnsi="Times New Roman" w:cs="Times New Roman"/>
          <w:b w:val="0"/>
          <w:sz w:val="28"/>
          <w:szCs w:val="28"/>
        </w:rPr>
        <w:t>лица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являются: </w:t>
      </w:r>
    </w:p>
    <w:p w:rsidR="00EF177D" w:rsidRPr="00EF177D" w:rsidRDefault="00EF177D" w:rsidP="00EF177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- разработка, согласование и внедрение правовых актов министерства, обеспечивающих развитие и функционирование 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в министерстве;</w:t>
      </w:r>
    </w:p>
    <w:p w:rsidR="00EF177D" w:rsidRPr="00EF177D" w:rsidRDefault="00EF177D" w:rsidP="00EF177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- координация и методологическое обеспечение мероприятий 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в министерстве;</w:t>
      </w:r>
    </w:p>
    <w:p w:rsidR="00EF177D" w:rsidRPr="00EF177D" w:rsidRDefault="00EF177D" w:rsidP="00EF177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- контроль за функционированием 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в министерстве;</w:t>
      </w:r>
    </w:p>
    <w:p w:rsidR="00EF177D" w:rsidRPr="00EF177D" w:rsidRDefault="00EF177D" w:rsidP="00EF177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 выявление рисков нарушения антимонопольного законодательства в деятельности министерства;</w:t>
      </w:r>
    </w:p>
    <w:p w:rsidR="00EF177D" w:rsidRPr="00EF177D" w:rsidRDefault="00EF177D" w:rsidP="00EF177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 инициирование мероприятий по минимизации рисков нарушения антимонопольного законодательства в министерстве;</w:t>
      </w:r>
    </w:p>
    <w:p w:rsidR="00EF177D" w:rsidRPr="00EF177D" w:rsidRDefault="00EF177D" w:rsidP="00EF177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- информирование должностных лиц министерства, в зоне ответственности которых имеются соответствующие антимонопольные риски, и </w:t>
      </w:r>
      <w:r w:rsidR="007267FB">
        <w:rPr>
          <w:rFonts w:ascii="Times New Roman" w:hAnsi="Times New Roman" w:cs="Times New Roman"/>
          <w:b w:val="0"/>
          <w:sz w:val="28"/>
          <w:szCs w:val="28"/>
        </w:rPr>
        <w:t>министра юстиции Республики Дагестан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о выявленных рисках;</w:t>
      </w:r>
    </w:p>
    <w:p w:rsidR="00EF177D" w:rsidRPr="00EF177D" w:rsidRDefault="00EF177D" w:rsidP="00EF177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- организация взаимодействия с другими подразделениями министерства по вопросам реализации 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в министерстве;</w:t>
      </w:r>
    </w:p>
    <w:p w:rsidR="00EF177D" w:rsidRPr="00EF177D" w:rsidRDefault="00EF177D" w:rsidP="00EF177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- взаимодействие с территориальным антимонопольным органом по вопросам организации и функционировании 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в министерстве. </w:t>
      </w:r>
    </w:p>
    <w:p w:rsidR="00EF177D" w:rsidRPr="00C16639" w:rsidRDefault="00EF177D" w:rsidP="00C16639">
      <w:pPr>
        <w:pStyle w:val="ConsPlusNormal"/>
        <w:widowControl w:val="0"/>
        <w:numPr>
          <w:ilvl w:val="0"/>
          <w:numId w:val="2"/>
        </w:numPr>
        <w:spacing w:before="240" w:after="1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16639">
        <w:rPr>
          <w:rFonts w:ascii="Times New Roman" w:hAnsi="Times New Roman" w:cs="Times New Roman"/>
          <w:sz w:val="28"/>
          <w:szCs w:val="28"/>
        </w:rPr>
        <w:t>Выявление и оценка рисков</w:t>
      </w:r>
    </w:p>
    <w:p w:rsidR="00EF177D" w:rsidRPr="00EF177D" w:rsidRDefault="00EF177D" w:rsidP="00EF177D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В целях обеспечения соответствия деятельности министерства требованиям антимонопольного законодательства осуществляется выявление и оценка рисков нарушения антимонопольного законодательства. </w:t>
      </w:r>
    </w:p>
    <w:p w:rsidR="00EF177D" w:rsidRPr="00EF177D" w:rsidRDefault="00EF177D" w:rsidP="00EF177D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В целях выявления рисков нарушения антимонопольного законодательства уполномоченным </w:t>
      </w:r>
      <w:r w:rsidR="00AE2043">
        <w:rPr>
          <w:rFonts w:ascii="Times New Roman" w:hAnsi="Times New Roman" w:cs="Times New Roman"/>
          <w:b w:val="0"/>
          <w:sz w:val="28"/>
          <w:szCs w:val="28"/>
        </w:rPr>
        <w:t>лицом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совместно с другими </w:t>
      </w:r>
      <w:r w:rsidRPr="00EF177D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>подразделениями</w:t>
      </w:r>
      <w:r w:rsidRPr="00EF177D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>министерства на регулярной основе проводятся следующие мероприятия:</w:t>
      </w:r>
    </w:p>
    <w:p w:rsidR="00EF177D" w:rsidRPr="00EF177D" w:rsidRDefault="00EF177D" w:rsidP="00EF177D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Анализ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дел).</w:t>
      </w:r>
    </w:p>
    <w:p w:rsidR="00EF177D" w:rsidRPr="00EF177D" w:rsidRDefault="00EF177D" w:rsidP="00EF177D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Анализ проектов нормативных правовых актов </w:t>
      </w:r>
      <w:r w:rsidR="00C16639">
        <w:rPr>
          <w:rFonts w:ascii="Times New Roman" w:hAnsi="Times New Roman" w:cs="Times New Roman"/>
          <w:b w:val="0"/>
          <w:sz w:val="28"/>
          <w:szCs w:val="28"/>
        </w:rPr>
        <w:t>Республики Дагестан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, разработанных министерством, и действующих нормативных правовых актов </w:t>
      </w:r>
      <w:r w:rsidR="00C16639">
        <w:rPr>
          <w:rFonts w:ascii="Times New Roman" w:hAnsi="Times New Roman" w:cs="Times New Roman"/>
          <w:b w:val="0"/>
          <w:sz w:val="28"/>
          <w:szCs w:val="28"/>
        </w:rPr>
        <w:t>Республики Дагестан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>, относящихся к сфере деятельности министерства и реализация которых связана с соблюдением требований антимонопольного законодательства (далее соответственно – проекты актов министерства, действующие акты министерства), на предмет соответствия их антимонопольному законодательству.</w:t>
      </w:r>
    </w:p>
    <w:p w:rsidR="00EF177D" w:rsidRPr="00EF177D" w:rsidRDefault="00EF177D" w:rsidP="00EF177D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Мониторинг и анализ практики применения антимонопольного законодательства.</w:t>
      </w:r>
    </w:p>
    <w:p w:rsidR="00EF177D" w:rsidRPr="00EF177D" w:rsidRDefault="00EF177D" w:rsidP="00EF177D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Разработка и поддержание в актуальном состоянии методики выявления внутренних и внешних рисков нарушения антимонопольного законодательства в рамках реализации в министерстве 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F177D" w:rsidRPr="00EF177D" w:rsidRDefault="00EF177D" w:rsidP="00EF177D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Проведение систематической оценки эффективности разработанных и реализуемых мер контроля.</w:t>
      </w:r>
    </w:p>
    <w:p w:rsidR="00EF177D" w:rsidRPr="00EF177D" w:rsidRDefault="00EF177D" w:rsidP="00EF177D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Проведение постоянного мониторинга для выявления в министерстве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lastRenderedPageBreak/>
        <w:t>остаточных рисков нарушения антимонопольного законодательства.</w:t>
      </w:r>
    </w:p>
    <w:p w:rsidR="00EF177D" w:rsidRPr="00EF177D" w:rsidRDefault="00EF177D" w:rsidP="00EF177D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Анализ выявленных в министерстве нарушений антимонопольного законодательства за предыдущие 3 года (наличие предостережений, предупреждений, штрафов, жалоб, возбужденных дел) проводится не реже одного раза в год. При проведении данного анализа министерством реализуются следующие мероприятия:</w:t>
      </w:r>
    </w:p>
    <w:p w:rsidR="00EF177D" w:rsidRPr="00EF177D" w:rsidRDefault="00EF177D" w:rsidP="00EF177D">
      <w:pPr>
        <w:pStyle w:val="ConsPlusNormal"/>
        <w:widowControl w:val="0"/>
        <w:numPr>
          <w:ilvl w:val="2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Осуществляется сбор сведений, в том числе в подразделениях министерства, о наличии выявленных контрольными органами нарушений антимонопольного законодательства.</w:t>
      </w:r>
    </w:p>
    <w:p w:rsidR="00EF177D" w:rsidRPr="00EF177D" w:rsidRDefault="00EF177D" w:rsidP="00EF177D">
      <w:pPr>
        <w:pStyle w:val="ConsPlusNormal"/>
        <w:widowControl w:val="0"/>
        <w:numPr>
          <w:ilvl w:val="2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Составляется перечень выявленных нарушений антимонопольного законодательства.</w:t>
      </w:r>
    </w:p>
    <w:p w:rsidR="00EF177D" w:rsidRPr="00EF177D" w:rsidRDefault="00EF177D" w:rsidP="00EF177D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Перечень нарушений антимонопольного законодательства должен содержать сведения о выявленных за последние 3 года нарушениях законодательства, отдельно по каждому нарушению, и информацию о нарушении (с указанием нарушенной нормы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сведения о мерах, направленных министерством на недопущение повторения нарушения. Перечень нарушений антимонопольного законодательства должен содержать классификацию по сферам деятельности министерства.</w:t>
      </w:r>
    </w:p>
    <w:p w:rsidR="00EF177D" w:rsidRPr="00EF177D" w:rsidRDefault="00EF177D" w:rsidP="00EF177D">
      <w:pPr>
        <w:pStyle w:val="ConsPlusNormal"/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Анализ действующих актов министерства, на предмет соответствия их антимонопольному законодательству проводится не реже одного раза в год.  При проведении данного анализа реализуются следующие мероприятия:</w:t>
      </w:r>
    </w:p>
    <w:p w:rsidR="00EF177D" w:rsidRPr="00EF177D" w:rsidRDefault="00EF177D" w:rsidP="00EF177D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Разрабатывается исчерпывающий перечень действующих актов министерства (далее - Перечень действующих актов) с указанием источника их публикации.</w:t>
      </w:r>
    </w:p>
    <w:p w:rsidR="00EF177D" w:rsidRPr="00EF177D" w:rsidRDefault="00EF177D" w:rsidP="00EF177D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Перечень действующих актов размещается на официальном сайте министерства в сети Интернет в свободном доступе.</w:t>
      </w:r>
    </w:p>
    <w:p w:rsidR="00EF177D" w:rsidRPr="00EF177D" w:rsidRDefault="00EF177D" w:rsidP="00EF177D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На официальном сайте министерства размещается уведомление о начале сбора замечаний и предложений граждан и организаций по вопросу соответствия антимонопольному законодательству действующих актов министерства.</w:t>
      </w:r>
    </w:p>
    <w:p w:rsidR="00EF177D" w:rsidRPr="00EF177D" w:rsidRDefault="00EF177D" w:rsidP="00EF177D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Перечень действующих актов направляется на рассмотрение представителям бизнес-объединений и (или) иным общественным организациям (объединениям).</w:t>
      </w:r>
    </w:p>
    <w:p w:rsidR="00EF177D" w:rsidRPr="00EF177D" w:rsidRDefault="00EF177D" w:rsidP="00EF177D">
      <w:pPr>
        <w:pStyle w:val="ConsPlusNormal"/>
        <w:widowControl w:val="0"/>
        <w:numPr>
          <w:ilvl w:val="2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Осуществляется сбор и анализ представленных замечаний и предложений.</w:t>
      </w:r>
    </w:p>
    <w:p w:rsidR="00EF177D" w:rsidRPr="00EF177D" w:rsidRDefault="00EF177D" w:rsidP="00EF177D">
      <w:pPr>
        <w:pStyle w:val="ConsPlusNormal"/>
        <w:widowControl w:val="0"/>
        <w:numPr>
          <w:ilvl w:val="2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Проводится совещание с представителями министерства и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бизнес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softHyphen/>
        <w:t>объединений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(иных общественных организаций (объединений) по обсуждению представленных предложений и замечаний к Перечню действующих актов.</w:t>
      </w:r>
    </w:p>
    <w:p w:rsidR="00EF177D" w:rsidRPr="00EF177D" w:rsidRDefault="00EF177D" w:rsidP="00EF177D">
      <w:pPr>
        <w:pStyle w:val="ConsPlusNormal"/>
        <w:widowControl w:val="0"/>
        <w:numPr>
          <w:ilvl w:val="2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По итогам проведения указанного совещания составляется протокол совещания, а также таблица о необходимости внесения изменений (признании утратившими силу) в действующие акты министерства с обоснованием целесообразности (нецелесообразности) внесения изменений (признания утратившими силу).</w:t>
      </w:r>
    </w:p>
    <w:p w:rsidR="00EF177D" w:rsidRPr="00EF177D" w:rsidRDefault="00EF177D" w:rsidP="00EF177D">
      <w:pPr>
        <w:pStyle w:val="ConsPlusNormal"/>
        <w:widowControl w:val="0"/>
        <w:numPr>
          <w:ilvl w:val="1"/>
          <w:numId w:val="2"/>
        </w:numPr>
        <w:tabs>
          <w:tab w:val="left" w:pos="851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При проведении анализа проектов актов министерства на предмет соответствия их антимонопольному законодательству, министерством реализуются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lastRenderedPageBreak/>
        <w:t>следующие мероприятия:</w:t>
      </w:r>
    </w:p>
    <w:p w:rsidR="00EF177D" w:rsidRPr="00EF177D" w:rsidRDefault="00EF177D" w:rsidP="00EF177D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1276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Проекты актов министерства вместе с пояснительными записками размещаются на официальном сайте министерства в сети Интернет в свободном доступе.</w:t>
      </w:r>
    </w:p>
    <w:p w:rsidR="00EF177D" w:rsidRPr="00EF177D" w:rsidRDefault="00EF177D" w:rsidP="00EF177D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1276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Осуществляется сбор и анализ поступивших предложений и замечаний.</w:t>
      </w:r>
    </w:p>
    <w:p w:rsidR="00EF177D" w:rsidRPr="00EF177D" w:rsidRDefault="00EF177D" w:rsidP="00EF177D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1276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По итогам рассмотрения полученных предложений и замечаний по проекту акта министерства подготавливается справка о выявлении (отсутствии) в проекте акта министерства положений, противоречащих антимонопольному законодательству.</w:t>
      </w:r>
    </w:p>
    <w:p w:rsidR="00EF177D" w:rsidRPr="00EF177D" w:rsidRDefault="00EF177D" w:rsidP="00EF177D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При проведении мониторинга и анализа практики применения антимонопольного законодательства уполномоченным </w:t>
      </w:r>
      <w:r w:rsidR="00AE2043">
        <w:rPr>
          <w:rFonts w:ascii="Times New Roman" w:hAnsi="Times New Roman" w:cs="Times New Roman"/>
          <w:b w:val="0"/>
          <w:sz w:val="28"/>
          <w:szCs w:val="28"/>
        </w:rPr>
        <w:t>лицом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реализуются следующие мероприятия:</w:t>
      </w:r>
    </w:p>
    <w:p w:rsidR="00EF177D" w:rsidRPr="00EF177D" w:rsidRDefault="00EF177D" w:rsidP="00EF177D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На постоянной основе осуществляется сбор сведений, в том числе в  подразделениях министерства, о правоприменительной практике в министерстве.</w:t>
      </w:r>
    </w:p>
    <w:p w:rsidR="00EF177D" w:rsidRPr="00EF177D" w:rsidRDefault="00EF177D" w:rsidP="00EF177D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По итогам сбора указанной информации подготавливается аналитическая справка</w:t>
      </w:r>
      <w:r w:rsidR="007267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>об изменениях и</w:t>
      </w:r>
      <w:r w:rsidR="007267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>основных</w:t>
      </w:r>
      <w:r w:rsidR="007267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>аспектах</w:t>
      </w:r>
      <w:r w:rsidR="005D06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правоприменительной практики, а также о проблемах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правоприменения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F177D" w:rsidRPr="00EF177D" w:rsidRDefault="00EF177D" w:rsidP="00EF177D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Один раз в полугодие проводятся рабочие совещания с представителями министерства с приглашением представителей антимонопольного органа по обсуждению результатов правоприменительной практики и по вопросам проблем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правоприменения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F177D" w:rsidRPr="00EF177D" w:rsidRDefault="00EF177D" w:rsidP="00EF177D">
      <w:pPr>
        <w:pStyle w:val="ConsPlusNormal"/>
        <w:widowControl w:val="0"/>
        <w:numPr>
          <w:ilvl w:val="2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По итогам проведения указанного совещания составляется протокол, а также подготавливаются</w:t>
      </w:r>
      <w:r w:rsidR="007267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>предложения</w:t>
      </w:r>
      <w:r w:rsidR="007267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>по</w:t>
      </w:r>
      <w:r w:rsidR="007267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решению проблем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правоприменения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F177D" w:rsidRPr="00EF177D" w:rsidRDefault="00EF177D" w:rsidP="00EF177D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5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При выявлении отдельных рисков министерства проводится их оценка в соответствии с таблицей 1: </w:t>
      </w:r>
    </w:p>
    <w:p w:rsidR="007267FB" w:rsidRDefault="007267FB" w:rsidP="00EF177D">
      <w:pPr>
        <w:pStyle w:val="ConsPlusNormal"/>
        <w:tabs>
          <w:tab w:val="left" w:pos="851"/>
        </w:tabs>
        <w:ind w:left="284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F177D" w:rsidRPr="00EF177D" w:rsidRDefault="00EF177D" w:rsidP="007267FB">
      <w:pPr>
        <w:pStyle w:val="ConsPlusNormal"/>
        <w:tabs>
          <w:tab w:val="left" w:pos="851"/>
        </w:tabs>
        <w:ind w:left="284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Таблица 1</w:t>
      </w:r>
    </w:p>
    <w:p w:rsidR="00EF177D" w:rsidRPr="00EF177D" w:rsidRDefault="00EF177D" w:rsidP="00EF177D">
      <w:pPr>
        <w:pStyle w:val="ConsPlusNormal"/>
        <w:tabs>
          <w:tab w:val="left" w:pos="851"/>
        </w:tabs>
        <w:ind w:left="284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400"/>
        <w:gridCol w:w="7665"/>
      </w:tblGrid>
      <w:tr w:rsidR="00EF177D" w:rsidRPr="00EF177D" w:rsidTr="0027728B">
        <w:trPr>
          <w:trHeight w:hRule="exact" w:val="398"/>
        </w:trPr>
        <w:tc>
          <w:tcPr>
            <w:tcW w:w="2400" w:type="dxa"/>
            <w:tcBorders>
              <w:bottom w:val="nil"/>
            </w:tcBorders>
            <w:shd w:val="clear" w:color="auto" w:fill="FFFFFF"/>
            <w:vAlign w:val="bottom"/>
          </w:tcPr>
          <w:p w:rsidR="00EF177D" w:rsidRPr="00EF177D" w:rsidRDefault="00EF177D" w:rsidP="00EF177D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F177D">
              <w:rPr>
                <w:rStyle w:val="2"/>
                <w:b w:val="0"/>
              </w:rPr>
              <w:t>Уровень риска</w:t>
            </w:r>
          </w:p>
        </w:tc>
        <w:tc>
          <w:tcPr>
            <w:tcW w:w="7665" w:type="dxa"/>
            <w:tcBorders>
              <w:bottom w:val="nil"/>
            </w:tcBorders>
            <w:shd w:val="clear" w:color="auto" w:fill="FFFFFF"/>
            <w:vAlign w:val="bottom"/>
          </w:tcPr>
          <w:p w:rsidR="00EF177D" w:rsidRPr="00EF177D" w:rsidRDefault="00EF177D" w:rsidP="00EF177D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F177D">
              <w:rPr>
                <w:rStyle w:val="2"/>
                <w:b w:val="0"/>
              </w:rPr>
              <w:t>Описание риска</w:t>
            </w:r>
          </w:p>
        </w:tc>
      </w:tr>
      <w:tr w:rsidR="00EF177D" w:rsidRPr="00EF177D" w:rsidTr="0027728B">
        <w:trPr>
          <w:trHeight w:hRule="exact" w:val="81"/>
        </w:trPr>
        <w:tc>
          <w:tcPr>
            <w:tcW w:w="2400" w:type="dxa"/>
            <w:tcBorders>
              <w:top w:val="nil"/>
            </w:tcBorders>
            <w:shd w:val="clear" w:color="auto" w:fill="FFFFFF"/>
          </w:tcPr>
          <w:p w:rsidR="00EF177D" w:rsidRPr="00EF177D" w:rsidRDefault="00EF177D" w:rsidP="00EF177D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665" w:type="dxa"/>
            <w:tcBorders>
              <w:top w:val="nil"/>
            </w:tcBorders>
            <w:shd w:val="clear" w:color="auto" w:fill="FFFFFF"/>
          </w:tcPr>
          <w:p w:rsidR="00EF177D" w:rsidRPr="00EF177D" w:rsidRDefault="00EF177D" w:rsidP="00EF177D">
            <w:pPr>
              <w:jc w:val="both"/>
              <w:rPr>
                <w:sz w:val="28"/>
                <w:szCs w:val="28"/>
              </w:rPr>
            </w:pPr>
          </w:p>
        </w:tc>
      </w:tr>
      <w:tr w:rsidR="00EF177D" w:rsidRPr="00EF177D" w:rsidTr="0027728B">
        <w:trPr>
          <w:trHeight w:hRule="exact" w:val="1799"/>
        </w:trPr>
        <w:tc>
          <w:tcPr>
            <w:tcW w:w="2400" w:type="dxa"/>
            <w:shd w:val="clear" w:color="auto" w:fill="FFFFFF"/>
          </w:tcPr>
          <w:p w:rsidR="00EF177D" w:rsidRPr="00EF177D" w:rsidRDefault="00EF177D" w:rsidP="00EF177D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F177D">
              <w:rPr>
                <w:rStyle w:val="2"/>
                <w:b w:val="0"/>
              </w:rPr>
              <w:t>Низкий</w:t>
            </w:r>
          </w:p>
        </w:tc>
        <w:tc>
          <w:tcPr>
            <w:tcW w:w="7665" w:type="dxa"/>
            <w:shd w:val="clear" w:color="auto" w:fill="FFFFFF"/>
          </w:tcPr>
          <w:p w:rsidR="00EF177D" w:rsidRPr="00EF177D" w:rsidRDefault="00EF177D" w:rsidP="00EF177D">
            <w:pPr>
              <w:ind w:left="142" w:right="132"/>
              <w:jc w:val="both"/>
              <w:rPr>
                <w:sz w:val="28"/>
                <w:szCs w:val="28"/>
              </w:rPr>
            </w:pPr>
            <w:r w:rsidRPr="00EF177D">
              <w:rPr>
                <w:rStyle w:val="20"/>
              </w:rPr>
              <w:t xml:space="preserve">Отрицательное влияние на отношение институтов гражданского общества к деятельности министерства по развитию конкуренции, вероятность выдачи предупреждений, возбуждения дел о нарушении антимонопольного законодательства, наложения штрафов </w:t>
            </w:r>
            <w:r w:rsidRPr="00EF177D">
              <w:rPr>
                <w:rStyle w:val="2"/>
                <w:b w:val="0"/>
              </w:rPr>
              <w:t>отсутствуют</w:t>
            </w:r>
          </w:p>
        </w:tc>
      </w:tr>
      <w:tr w:rsidR="00EF177D" w:rsidRPr="00EF177D" w:rsidTr="0027728B">
        <w:trPr>
          <w:trHeight w:hRule="exact" w:val="494"/>
        </w:trPr>
        <w:tc>
          <w:tcPr>
            <w:tcW w:w="2400" w:type="dxa"/>
            <w:shd w:val="clear" w:color="auto" w:fill="FFFFFF"/>
          </w:tcPr>
          <w:p w:rsidR="00EF177D" w:rsidRPr="00EF177D" w:rsidRDefault="00EF177D" w:rsidP="00EF177D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F177D">
              <w:rPr>
                <w:rStyle w:val="2"/>
                <w:b w:val="0"/>
              </w:rPr>
              <w:t>Незначительный</w:t>
            </w:r>
          </w:p>
        </w:tc>
        <w:tc>
          <w:tcPr>
            <w:tcW w:w="7665" w:type="dxa"/>
            <w:shd w:val="clear" w:color="auto" w:fill="FFFFFF"/>
          </w:tcPr>
          <w:p w:rsidR="00EF177D" w:rsidRPr="00EF177D" w:rsidRDefault="00EF177D" w:rsidP="00EF177D">
            <w:pPr>
              <w:spacing w:line="280" w:lineRule="exact"/>
              <w:ind w:left="142" w:right="132"/>
              <w:jc w:val="both"/>
              <w:rPr>
                <w:sz w:val="28"/>
                <w:szCs w:val="28"/>
              </w:rPr>
            </w:pPr>
            <w:r w:rsidRPr="00EF177D">
              <w:rPr>
                <w:rStyle w:val="20"/>
              </w:rPr>
              <w:t>Возможность выдачи предупреждения</w:t>
            </w:r>
          </w:p>
        </w:tc>
      </w:tr>
      <w:tr w:rsidR="00EF177D" w:rsidRPr="00EF177D" w:rsidTr="0027728B">
        <w:trPr>
          <w:trHeight w:hRule="exact" w:val="692"/>
        </w:trPr>
        <w:tc>
          <w:tcPr>
            <w:tcW w:w="2400" w:type="dxa"/>
            <w:shd w:val="clear" w:color="auto" w:fill="FFFFFF"/>
          </w:tcPr>
          <w:p w:rsidR="00EF177D" w:rsidRPr="00EF177D" w:rsidRDefault="00EF177D" w:rsidP="00EF177D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F177D">
              <w:rPr>
                <w:rStyle w:val="2"/>
                <w:b w:val="0"/>
              </w:rPr>
              <w:t>Существенный</w:t>
            </w:r>
          </w:p>
        </w:tc>
        <w:tc>
          <w:tcPr>
            <w:tcW w:w="7665" w:type="dxa"/>
            <w:shd w:val="clear" w:color="auto" w:fill="FFFFFF"/>
          </w:tcPr>
          <w:p w:rsidR="00EF177D" w:rsidRPr="00EF177D" w:rsidRDefault="00EF177D" w:rsidP="00EF177D">
            <w:pPr>
              <w:spacing w:after="0" w:line="240" w:lineRule="auto"/>
              <w:ind w:left="142" w:right="132"/>
              <w:jc w:val="both"/>
              <w:rPr>
                <w:sz w:val="28"/>
                <w:szCs w:val="28"/>
              </w:rPr>
            </w:pPr>
            <w:r w:rsidRPr="00EF177D">
              <w:rPr>
                <w:rStyle w:val="20"/>
              </w:rPr>
              <w:t>Возможность выдачи предупреждения и возбуждения дела о нарушении антимонопольного законодательства</w:t>
            </w:r>
          </w:p>
        </w:tc>
      </w:tr>
      <w:tr w:rsidR="00EF177D" w:rsidRPr="00EF177D" w:rsidTr="0027728B">
        <w:trPr>
          <w:trHeight w:hRule="exact" w:val="1411"/>
        </w:trPr>
        <w:tc>
          <w:tcPr>
            <w:tcW w:w="2400" w:type="dxa"/>
            <w:shd w:val="clear" w:color="auto" w:fill="FFFFFF"/>
          </w:tcPr>
          <w:p w:rsidR="00EF177D" w:rsidRPr="00EF177D" w:rsidRDefault="00EF177D" w:rsidP="00EF177D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F177D">
              <w:rPr>
                <w:rStyle w:val="2"/>
                <w:b w:val="0"/>
              </w:rPr>
              <w:t>Высокий</w:t>
            </w:r>
          </w:p>
        </w:tc>
        <w:tc>
          <w:tcPr>
            <w:tcW w:w="7665" w:type="dxa"/>
            <w:shd w:val="clear" w:color="auto" w:fill="FFFFFF"/>
          </w:tcPr>
          <w:p w:rsidR="00EF177D" w:rsidRPr="00EF177D" w:rsidRDefault="00EF177D" w:rsidP="00EF177D">
            <w:pPr>
              <w:ind w:left="142" w:right="132"/>
              <w:jc w:val="both"/>
              <w:rPr>
                <w:sz w:val="28"/>
                <w:szCs w:val="28"/>
              </w:rPr>
            </w:pPr>
            <w:r w:rsidRPr="00EF177D">
              <w:rPr>
                <w:rStyle w:val="20"/>
              </w:rPr>
              <w:t>Возможность выдачи предупреждения и (или) возбуждения дела о нарушении антимонопольного законодательства и (или) привлечение к административной ответственности (штраф, дисквалификация)</w:t>
            </w:r>
          </w:p>
        </w:tc>
      </w:tr>
    </w:tbl>
    <w:p w:rsidR="00EF177D" w:rsidRPr="00EF177D" w:rsidRDefault="00EF177D" w:rsidP="00EF177D">
      <w:pPr>
        <w:pStyle w:val="ConsPlusNormal"/>
        <w:tabs>
          <w:tab w:val="left" w:pos="851"/>
        </w:tabs>
        <w:ind w:left="284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F177D" w:rsidRPr="00EF177D" w:rsidRDefault="00EF177D" w:rsidP="00EF177D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По результатам проведения оценки рисков, выявленных по результатам проведенных мероприятий 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, уполномоченным </w:t>
      </w:r>
      <w:r w:rsidR="00AE2043">
        <w:rPr>
          <w:rFonts w:ascii="Times New Roman" w:hAnsi="Times New Roman" w:cs="Times New Roman"/>
          <w:b w:val="0"/>
          <w:sz w:val="28"/>
          <w:szCs w:val="28"/>
        </w:rPr>
        <w:lastRenderedPageBreak/>
        <w:t>лицом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совместно с другими подразделениями министерства составляются карты рисков по форме согласно приложению</w:t>
      </w:r>
      <w:r w:rsidR="00AE2043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1 к настоящему Положению.</w:t>
      </w:r>
    </w:p>
    <w:p w:rsidR="00EF177D" w:rsidRPr="00EF177D" w:rsidRDefault="00EF177D" w:rsidP="00EF177D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В карты рисков включаются:</w:t>
      </w:r>
    </w:p>
    <w:p w:rsidR="00EF177D" w:rsidRPr="00EF177D" w:rsidRDefault="00EF177D" w:rsidP="00EF177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ab/>
        <w:t>выявленные риски (их описание), структурированные по уровню и направлениям деятельности;</w:t>
      </w:r>
    </w:p>
    <w:p w:rsidR="00EF177D" w:rsidRPr="00EF177D" w:rsidRDefault="00EF177D" w:rsidP="00EF177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ab/>
        <w:t>описание причин возникновения рисков;</w:t>
      </w:r>
    </w:p>
    <w:p w:rsidR="00EF177D" w:rsidRPr="00EF177D" w:rsidRDefault="00EF177D" w:rsidP="00EF177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ab/>
        <w:t>описание условий возникновения рисков;</w:t>
      </w:r>
    </w:p>
    <w:p w:rsidR="00EF177D" w:rsidRPr="00EF177D" w:rsidRDefault="00EF177D" w:rsidP="00EF177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ab/>
        <w:t>мероприятия по минимизации и устранению рисков;</w:t>
      </w:r>
    </w:p>
    <w:p w:rsidR="00EF177D" w:rsidRPr="00EF177D" w:rsidRDefault="00EF177D" w:rsidP="00EF177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ab/>
        <w:t>наличие (отсутствие) остаточных рисков;</w:t>
      </w:r>
    </w:p>
    <w:p w:rsidR="00EF177D" w:rsidRPr="00EF177D" w:rsidRDefault="00EF177D" w:rsidP="00EF177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ab/>
        <w:t>вероятность повторного возникновения рисков.</w:t>
      </w:r>
    </w:p>
    <w:p w:rsidR="00EF177D" w:rsidRPr="00EF177D" w:rsidRDefault="00EF177D" w:rsidP="00EF177D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Карты рисков составляются не реже одного раза в год, утверждаются руководителем министерства или уполномоченным им лицом, и размещаются на официальном сайте министерства в сети Интернет.</w:t>
      </w:r>
    </w:p>
    <w:p w:rsidR="00EF177D" w:rsidRPr="00EF177D" w:rsidRDefault="00EF177D" w:rsidP="00EF177D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Информация о проведённых мероприятиях по выявлению и оценке рисков нарушения антимонопольного законодательства включается в Доклад об антимонопольном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комплаенсе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F177D" w:rsidRPr="005D0640" w:rsidRDefault="00EF177D" w:rsidP="005D0640">
      <w:pPr>
        <w:pStyle w:val="ConsPlusNormal"/>
        <w:widowControl w:val="0"/>
        <w:numPr>
          <w:ilvl w:val="0"/>
          <w:numId w:val="2"/>
        </w:numPr>
        <w:spacing w:before="240" w:after="120"/>
        <w:ind w:left="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D0640">
        <w:rPr>
          <w:rFonts w:ascii="Times New Roman" w:hAnsi="Times New Roman" w:cs="Times New Roman"/>
          <w:sz w:val="28"/>
          <w:szCs w:val="28"/>
        </w:rPr>
        <w:t>Проведение мероприятий по снижению рисков нарушения антимонопольного законодательства</w:t>
      </w:r>
      <w:bookmarkEnd w:id="0"/>
    </w:p>
    <w:p w:rsidR="00EF177D" w:rsidRPr="00EF177D" w:rsidRDefault="00EF177D" w:rsidP="00EF177D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В целях снижения рисков нарушения антимонопольного законодательства уполномоченным </w:t>
      </w:r>
      <w:r w:rsidR="00AE2043">
        <w:rPr>
          <w:rFonts w:ascii="Times New Roman" w:hAnsi="Times New Roman" w:cs="Times New Roman"/>
          <w:b w:val="0"/>
          <w:sz w:val="28"/>
          <w:szCs w:val="28"/>
        </w:rPr>
        <w:t>лицом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на основе карты рисков нарушения антимонопольного </w:t>
      </w:r>
      <w:r w:rsidRPr="00AE2043">
        <w:rPr>
          <w:rFonts w:ascii="Times New Roman" w:hAnsi="Times New Roman" w:cs="Times New Roman"/>
          <w:b w:val="0"/>
          <w:sz w:val="28"/>
          <w:szCs w:val="28"/>
        </w:rPr>
        <w:t>законодательства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разрабатывается план мероприятий («дорожная карта») по форме согласно приложению </w:t>
      </w:r>
      <w:r w:rsidR="00AE2043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>2 к настоящему Положению.</w:t>
      </w:r>
    </w:p>
    <w:p w:rsidR="00EF177D" w:rsidRPr="00EF177D" w:rsidRDefault="00EF177D" w:rsidP="00EF177D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План мероприятий («дорожная карта») по снижению рисков нарушения антимонопольного законодательства разрабатывается ежегодно.</w:t>
      </w:r>
    </w:p>
    <w:p w:rsidR="00EF177D" w:rsidRPr="00EF177D" w:rsidRDefault="00EF177D" w:rsidP="00EF177D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План мероприятий («дорожная карта») по снижению рисков нарушения антимонопольного законодательства утверждается руководителем министерства или уполномоченным им лицом и размещается на официальном сайте министерства в сети Интернет.</w:t>
      </w:r>
    </w:p>
    <w:p w:rsidR="00EF177D" w:rsidRPr="00EF177D" w:rsidRDefault="00EF177D" w:rsidP="00EF177D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Уполномоченное </w:t>
      </w:r>
      <w:r w:rsidR="00AE2043">
        <w:rPr>
          <w:rFonts w:ascii="Times New Roman" w:hAnsi="Times New Roman" w:cs="Times New Roman"/>
          <w:b w:val="0"/>
          <w:sz w:val="28"/>
          <w:szCs w:val="28"/>
        </w:rPr>
        <w:t>лицо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на постоянной основе осуществляет мониторинг исполнения планов мероприятий («дорожных карт») по снижению рисков нарушения антимонопольного законодательства.</w:t>
      </w:r>
    </w:p>
    <w:p w:rsidR="00EF177D" w:rsidRPr="00EF177D" w:rsidRDefault="00EF177D" w:rsidP="00EF177D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Информация об утверждении и исполнении планов мероприятий («дорожных карт») по снижению рисков нарушения антимонопольного законодательства включается в Доклад об антимонопольном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комплаенсе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F177D" w:rsidRPr="005D0640" w:rsidRDefault="00EF177D" w:rsidP="005D0640">
      <w:pPr>
        <w:pStyle w:val="ConsPlusNormal"/>
        <w:widowControl w:val="0"/>
        <w:numPr>
          <w:ilvl w:val="0"/>
          <w:numId w:val="2"/>
        </w:numPr>
        <w:spacing w:before="240" w:after="120"/>
        <w:ind w:left="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D0640">
        <w:rPr>
          <w:rFonts w:ascii="Times New Roman" w:hAnsi="Times New Roman" w:cs="Times New Roman"/>
          <w:sz w:val="28"/>
          <w:szCs w:val="28"/>
        </w:rPr>
        <w:t xml:space="preserve">Организация обучения государственных гражданских служащих и работников министерства требованиям антимонопольного законодательства и антимонопольного </w:t>
      </w:r>
      <w:proofErr w:type="spellStart"/>
      <w:r w:rsidRPr="005D0640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</w:p>
    <w:p w:rsidR="00EF177D" w:rsidRPr="00EF177D" w:rsidRDefault="00EF177D" w:rsidP="00EF177D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Министерство организует систематическое обучение государственных гражданских служащих</w:t>
      </w:r>
      <w:r w:rsidR="007267FB">
        <w:rPr>
          <w:rFonts w:ascii="Times New Roman" w:hAnsi="Times New Roman" w:cs="Times New Roman"/>
          <w:b w:val="0"/>
          <w:sz w:val="28"/>
          <w:szCs w:val="28"/>
        </w:rPr>
        <w:t xml:space="preserve"> Республики Дагестан в министерстве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и работников требованиям антимонопольного законодательства и 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в следующих формах:</w:t>
      </w:r>
    </w:p>
    <w:p w:rsidR="00EF177D" w:rsidRPr="00EF177D" w:rsidRDefault="00EF177D" w:rsidP="00EF177D">
      <w:pPr>
        <w:pStyle w:val="ConsPlusNormal"/>
        <w:tabs>
          <w:tab w:val="left" w:pos="851"/>
          <w:tab w:val="left" w:pos="1276"/>
        </w:tabs>
        <w:ind w:left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 вводный (первичный) инструктаж;</w:t>
      </w:r>
    </w:p>
    <w:p w:rsidR="00EF177D" w:rsidRPr="00EF177D" w:rsidRDefault="00EF177D" w:rsidP="00EF177D">
      <w:pPr>
        <w:pStyle w:val="ConsPlusNormal"/>
        <w:tabs>
          <w:tab w:val="left" w:pos="851"/>
          <w:tab w:val="left" w:pos="1276"/>
        </w:tabs>
        <w:ind w:left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 целевой (внеплановый) инструктаж;</w:t>
      </w:r>
    </w:p>
    <w:p w:rsidR="00EF177D" w:rsidRPr="00EF177D" w:rsidRDefault="00EF177D" w:rsidP="00EF177D">
      <w:pPr>
        <w:pStyle w:val="ConsPlusNormal"/>
        <w:tabs>
          <w:tab w:val="left" w:pos="851"/>
          <w:tab w:val="left" w:pos="1276"/>
        </w:tabs>
        <w:ind w:left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lastRenderedPageBreak/>
        <w:t>- повышение квалификации;</w:t>
      </w:r>
    </w:p>
    <w:p w:rsidR="00EF177D" w:rsidRPr="00EF177D" w:rsidRDefault="00EF177D" w:rsidP="00EF177D">
      <w:pPr>
        <w:pStyle w:val="ConsPlusNormal"/>
        <w:tabs>
          <w:tab w:val="left" w:pos="851"/>
          <w:tab w:val="left" w:pos="1276"/>
        </w:tabs>
        <w:ind w:left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 плановая аттестация.</w:t>
      </w:r>
    </w:p>
    <w:p w:rsidR="00EF177D" w:rsidRPr="00EF177D" w:rsidRDefault="00EF177D" w:rsidP="00EF177D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Вводный (первичный) инструктаж и ознакомление с основами антимонопольного законодательства и настоящим Положением проводятся при поступлении (приеме) государственных гражданских служащих (работников) министерства на государственную службу (работу), в том числе при переводе служащего (работника) на другую должность, если она предполагает другие должностные обязанности.</w:t>
      </w:r>
    </w:p>
    <w:p w:rsidR="00EF177D" w:rsidRPr="00EF177D" w:rsidRDefault="00EF177D" w:rsidP="00EF177D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Целевой (внеплановый) инструктаж проводится при изменении антимонопольного законодательства, настоящего Положения и при выявлении антимонопольным органом или уполномоченным </w:t>
      </w:r>
      <w:r w:rsidR="00AE2043">
        <w:rPr>
          <w:rFonts w:ascii="Times New Roman" w:hAnsi="Times New Roman" w:cs="Times New Roman"/>
          <w:b w:val="0"/>
          <w:sz w:val="28"/>
          <w:szCs w:val="28"/>
        </w:rPr>
        <w:t>лицом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признаков нарушения (установления факта) антимонопольного законодательства в деятельности министерства.</w:t>
      </w:r>
    </w:p>
    <w:p w:rsidR="00EF177D" w:rsidRPr="00EF177D" w:rsidRDefault="00EF177D" w:rsidP="00EF177D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Организация повышения квалификации государственных гражданских служащих </w:t>
      </w:r>
      <w:r w:rsidR="007267FB">
        <w:rPr>
          <w:rFonts w:ascii="Times New Roman" w:hAnsi="Times New Roman" w:cs="Times New Roman"/>
          <w:b w:val="0"/>
          <w:sz w:val="28"/>
          <w:szCs w:val="28"/>
        </w:rPr>
        <w:t>Республики Дагестан в министерстве</w:t>
      </w:r>
      <w:r w:rsidR="007267FB" w:rsidRPr="00EF17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(работников) в части изучения требований антимонопольного законодательства осуществляется в соответствии с законодательством. </w:t>
      </w:r>
    </w:p>
    <w:p w:rsidR="00EF177D" w:rsidRPr="00EF177D" w:rsidRDefault="00EF177D" w:rsidP="00EF177D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Организация проведения аттестации государственных гражданских служащих</w:t>
      </w:r>
      <w:r w:rsidR="007267FB" w:rsidRPr="007267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7FB">
        <w:rPr>
          <w:rFonts w:ascii="Times New Roman" w:hAnsi="Times New Roman" w:cs="Times New Roman"/>
          <w:b w:val="0"/>
          <w:sz w:val="28"/>
          <w:szCs w:val="28"/>
        </w:rPr>
        <w:t>Республики Дагестан в министерстве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(работников), в том числе по вопросам 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, осуществляется в соответствии с законодательством.</w:t>
      </w:r>
    </w:p>
    <w:p w:rsidR="00EF177D" w:rsidRPr="00EF177D" w:rsidRDefault="00EF177D" w:rsidP="00EF177D">
      <w:pPr>
        <w:pStyle w:val="ConsPlusNormal"/>
        <w:widowControl w:val="0"/>
        <w:numPr>
          <w:ilvl w:val="1"/>
          <w:numId w:val="2"/>
        </w:numPr>
        <w:tabs>
          <w:tab w:val="left" w:pos="851"/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Информация о проведении ознакомления государственных гражданских служащих</w:t>
      </w:r>
      <w:r w:rsidR="007267FB" w:rsidRPr="007267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7FB">
        <w:rPr>
          <w:rFonts w:ascii="Times New Roman" w:hAnsi="Times New Roman" w:cs="Times New Roman"/>
          <w:b w:val="0"/>
          <w:sz w:val="28"/>
          <w:szCs w:val="28"/>
        </w:rPr>
        <w:t>Республики Дагестан в министерстве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(работников) с антимонопольным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комплаенсом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, а также о проведении обучающих мероприятий включается в Доклад об антимонопольном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комплаенсе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F177D" w:rsidRPr="005D0640" w:rsidRDefault="00EF177D" w:rsidP="005D0640">
      <w:pPr>
        <w:pStyle w:val="ConsPlusNormal"/>
        <w:widowControl w:val="0"/>
        <w:numPr>
          <w:ilvl w:val="0"/>
          <w:numId w:val="2"/>
        </w:numPr>
        <w:spacing w:before="240" w:after="120"/>
        <w:ind w:left="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bookmark6"/>
      <w:r w:rsidRPr="005D0640">
        <w:rPr>
          <w:rFonts w:ascii="Times New Roman" w:hAnsi="Times New Roman" w:cs="Times New Roman"/>
          <w:sz w:val="28"/>
          <w:szCs w:val="28"/>
        </w:rPr>
        <w:t xml:space="preserve">Оценка эффективности антимонопольного </w:t>
      </w:r>
      <w:proofErr w:type="spellStart"/>
      <w:r w:rsidRPr="005D0640">
        <w:rPr>
          <w:rFonts w:ascii="Times New Roman" w:hAnsi="Times New Roman" w:cs="Times New Roman"/>
          <w:sz w:val="28"/>
          <w:szCs w:val="28"/>
        </w:rPr>
        <w:t>комплаенса</w:t>
      </w:r>
      <w:bookmarkEnd w:id="1"/>
      <w:proofErr w:type="spellEnd"/>
    </w:p>
    <w:p w:rsidR="00EF177D" w:rsidRPr="00EF177D" w:rsidRDefault="00EF177D" w:rsidP="00EF177D">
      <w:pPr>
        <w:pStyle w:val="ConsPlusNormal"/>
        <w:widowControl w:val="0"/>
        <w:numPr>
          <w:ilvl w:val="1"/>
          <w:numId w:val="2"/>
        </w:numPr>
        <w:tabs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В целях оценки организации и функционирования в министерстве 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приказом министерства утверждаются ключевые показатели эффективности реализации мероприятий 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как отдельно уполномоченного </w:t>
      </w:r>
      <w:r w:rsidR="00AE2043">
        <w:rPr>
          <w:rFonts w:ascii="Times New Roman" w:hAnsi="Times New Roman" w:cs="Times New Roman"/>
          <w:b w:val="0"/>
          <w:sz w:val="28"/>
          <w:szCs w:val="28"/>
        </w:rPr>
        <w:t>лица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, так и для министерства в целом. </w:t>
      </w:r>
    </w:p>
    <w:p w:rsidR="00EF177D" w:rsidRPr="00EF177D" w:rsidRDefault="00EF177D" w:rsidP="00EF177D">
      <w:pPr>
        <w:pStyle w:val="ConsPlusNormal"/>
        <w:widowControl w:val="0"/>
        <w:numPr>
          <w:ilvl w:val="1"/>
          <w:numId w:val="2"/>
        </w:numPr>
        <w:tabs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Ключевые показатели для уполномоченного </w:t>
      </w:r>
      <w:r w:rsidR="00AE2043">
        <w:rPr>
          <w:rFonts w:ascii="Times New Roman" w:hAnsi="Times New Roman" w:cs="Times New Roman"/>
          <w:b w:val="0"/>
          <w:sz w:val="28"/>
          <w:szCs w:val="28"/>
        </w:rPr>
        <w:t>лица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устанавливаются в целях оценки эффективности мероприятий, осуществляемых уполномоченным органом.</w:t>
      </w:r>
    </w:p>
    <w:p w:rsidR="00EF177D" w:rsidRPr="00EF177D" w:rsidRDefault="00EF177D" w:rsidP="00EF177D">
      <w:pPr>
        <w:pStyle w:val="ConsPlusNormal"/>
        <w:widowControl w:val="0"/>
        <w:numPr>
          <w:ilvl w:val="1"/>
          <w:numId w:val="2"/>
        </w:numPr>
        <w:tabs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Ключевыми показателями для министерства в целом устанавливаются в целях снижения рисков нарушения антимонопольного законодательства в результате деятельности министерства по результатам выявления и оценки рисков, с учетом уровней рисков, приведенных в таблице 1 раздела 3 настоящего Положения.</w:t>
      </w:r>
    </w:p>
    <w:p w:rsidR="00EF177D" w:rsidRPr="00EF177D" w:rsidRDefault="00EF177D" w:rsidP="00EF177D">
      <w:pPr>
        <w:pStyle w:val="ConsPlusNormal"/>
        <w:widowControl w:val="0"/>
        <w:numPr>
          <w:ilvl w:val="1"/>
          <w:numId w:val="2"/>
        </w:numPr>
        <w:tabs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Уполномоченное </w:t>
      </w:r>
      <w:r w:rsidR="00AE2043">
        <w:rPr>
          <w:rFonts w:ascii="Times New Roman" w:hAnsi="Times New Roman" w:cs="Times New Roman"/>
          <w:b w:val="0"/>
          <w:sz w:val="28"/>
          <w:szCs w:val="28"/>
        </w:rPr>
        <w:t>лицо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ежегодно проводит оценку достижения ключевых показателей эффективности реализации мероприятий 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F177D" w:rsidRPr="00EF177D" w:rsidRDefault="00EF177D" w:rsidP="00EF177D">
      <w:pPr>
        <w:pStyle w:val="ConsPlusNormal"/>
        <w:widowControl w:val="0"/>
        <w:numPr>
          <w:ilvl w:val="1"/>
          <w:numId w:val="2"/>
        </w:numPr>
        <w:tabs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Уполномоченное </w:t>
      </w:r>
      <w:r w:rsidR="00AE2043">
        <w:rPr>
          <w:rFonts w:ascii="Times New Roman" w:hAnsi="Times New Roman" w:cs="Times New Roman"/>
          <w:b w:val="0"/>
          <w:sz w:val="28"/>
          <w:szCs w:val="28"/>
        </w:rPr>
        <w:t>лицо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, при необходимости ежегодно проводит актуализацию ключевых показателей эффективности реализации мероприятий 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F177D" w:rsidRPr="00EF177D" w:rsidRDefault="00EF177D" w:rsidP="00EF177D">
      <w:pPr>
        <w:pStyle w:val="ConsPlusNormal"/>
        <w:widowControl w:val="0"/>
        <w:numPr>
          <w:ilvl w:val="1"/>
          <w:numId w:val="2"/>
        </w:numPr>
        <w:tabs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Информация о достижении ключевых показателей эффективности реализации мероприятий 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включается в Доклад об 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антимонопольном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комплаенсе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F177D" w:rsidRPr="005D0640" w:rsidRDefault="00EF177D" w:rsidP="005D0640">
      <w:pPr>
        <w:pStyle w:val="ConsPlusNormal"/>
        <w:widowControl w:val="0"/>
        <w:numPr>
          <w:ilvl w:val="0"/>
          <w:numId w:val="2"/>
        </w:numPr>
        <w:spacing w:before="240" w:after="120"/>
        <w:ind w:left="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D0640">
        <w:rPr>
          <w:rFonts w:ascii="Times New Roman" w:hAnsi="Times New Roman" w:cs="Times New Roman"/>
          <w:sz w:val="28"/>
          <w:szCs w:val="28"/>
        </w:rPr>
        <w:t xml:space="preserve">Доклад об антимонопольном </w:t>
      </w:r>
      <w:proofErr w:type="spellStart"/>
      <w:r w:rsidRPr="005D0640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</w:p>
    <w:p w:rsidR="00EF177D" w:rsidRPr="00EF177D" w:rsidRDefault="00EF177D" w:rsidP="00EF177D">
      <w:pPr>
        <w:pStyle w:val="ConsPlusNormal"/>
        <w:widowControl w:val="0"/>
        <w:numPr>
          <w:ilvl w:val="1"/>
          <w:numId w:val="2"/>
        </w:numPr>
        <w:tabs>
          <w:tab w:val="left" w:pos="851"/>
        </w:tabs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Доклад об антимонопольном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комплаенсе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должен содержать:</w:t>
      </w:r>
    </w:p>
    <w:p w:rsidR="00EF177D" w:rsidRPr="00EF177D" w:rsidRDefault="00EF177D" w:rsidP="00EF177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 информацию о проведении выявления и оценки рисков нарушения антимонопольного законодательства;</w:t>
      </w:r>
    </w:p>
    <w:p w:rsidR="00EF177D" w:rsidRPr="00EF177D" w:rsidRDefault="00EF177D" w:rsidP="00EF177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- информацию об утверждении и исполнении планов мероприятий («дорожных карт») по снижению рисков нарушения антимонопольного законодательства;</w:t>
      </w:r>
    </w:p>
    <w:p w:rsidR="00EF177D" w:rsidRPr="00EF177D" w:rsidRDefault="00EF177D" w:rsidP="00EF177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- информацию о проведении ознакомления государственных гражданских служащих (работников) с антимонопольным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комплаенсом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, а также о проведении обучающих мероприятий;</w:t>
      </w:r>
    </w:p>
    <w:p w:rsidR="00EF177D" w:rsidRPr="00EF177D" w:rsidRDefault="00EF177D" w:rsidP="00EF177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- информацию о достижении ключевых показателей эффективности реализации мероприятий антимонопольного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F177D" w:rsidRPr="00EF177D" w:rsidRDefault="00EF177D" w:rsidP="00EF177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7.2. Доклад об антимонопольном </w:t>
      </w:r>
      <w:proofErr w:type="spellStart"/>
      <w:r w:rsidRPr="00EF177D">
        <w:rPr>
          <w:rFonts w:ascii="Times New Roman" w:hAnsi="Times New Roman" w:cs="Times New Roman"/>
          <w:b w:val="0"/>
          <w:sz w:val="28"/>
          <w:szCs w:val="28"/>
        </w:rPr>
        <w:t>комплаенсе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министерства не реже 1 раза в год направляется уполномоченным </w:t>
      </w:r>
      <w:r w:rsidR="00AE2043">
        <w:rPr>
          <w:rFonts w:ascii="Times New Roman" w:hAnsi="Times New Roman" w:cs="Times New Roman"/>
          <w:b w:val="0"/>
          <w:sz w:val="28"/>
          <w:szCs w:val="28"/>
        </w:rPr>
        <w:t>лицом</w:t>
      </w:r>
      <w:r w:rsidRPr="00EF177D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5D0640">
        <w:rPr>
          <w:rFonts w:ascii="Times New Roman" w:hAnsi="Times New Roman" w:cs="Times New Roman"/>
          <w:b w:val="0"/>
          <w:sz w:val="28"/>
          <w:szCs w:val="28"/>
        </w:rPr>
        <w:t xml:space="preserve">антимонопольный орган для включения информации о мерах по организации и функционированию антимонопольного </w:t>
      </w:r>
      <w:proofErr w:type="spellStart"/>
      <w:r w:rsidR="005D0640">
        <w:rPr>
          <w:rFonts w:ascii="Times New Roman" w:hAnsi="Times New Roman" w:cs="Times New Roman"/>
          <w:b w:val="0"/>
          <w:sz w:val="28"/>
          <w:szCs w:val="28"/>
        </w:rPr>
        <w:t>коплаенса</w:t>
      </w:r>
      <w:proofErr w:type="spellEnd"/>
      <w:r w:rsidRPr="00EF17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F177D" w:rsidRPr="00EF177D" w:rsidRDefault="00EF177D" w:rsidP="00EF177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F177D" w:rsidRPr="00EF177D" w:rsidRDefault="00EF177D" w:rsidP="00EF177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F177D" w:rsidRPr="00EF177D" w:rsidRDefault="00EF177D" w:rsidP="00EF177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F177D" w:rsidRPr="00EF177D" w:rsidRDefault="00EF177D" w:rsidP="00EF177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F177D" w:rsidRPr="00EF177D" w:rsidRDefault="00EF177D" w:rsidP="00EF177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F177D" w:rsidRPr="00EF177D" w:rsidRDefault="00EF177D" w:rsidP="00EF177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F177D" w:rsidRPr="00EF177D" w:rsidRDefault="00EF177D" w:rsidP="00EF177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F177D" w:rsidRPr="00EF177D" w:rsidRDefault="00EF177D" w:rsidP="00EF177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F177D" w:rsidRPr="00EF177D" w:rsidRDefault="00EF177D" w:rsidP="00EF177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F177D" w:rsidRPr="00EF177D" w:rsidRDefault="00EF177D" w:rsidP="00EF177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F177D" w:rsidRPr="00EF177D" w:rsidRDefault="00EF177D" w:rsidP="00EF177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F177D" w:rsidRPr="00EF177D" w:rsidRDefault="00EF177D" w:rsidP="00EF177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F177D" w:rsidRPr="00EF177D" w:rsidRDefault="00EF177D" w:rsidP="00EF177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F177D" w:rsidRPr="00EF177D" w:rsidRDefault="00EF177D" w:rsidP="00EF177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F177D" w:rsidRPr="00EF177D" w:rsidRDefault="00EF177D" w:rsidP="00EF177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F177D" w:rsidRPr="00EF177D" w:rsidRDefault="00EF177D" w:rsidP="00EF177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F177D" w:rsidRPr="00EF177D" w:rsidRDefault="00EF177D" w:rsidP="00EF177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F177D" w:rsidRPr="00EF177D" w:rsidRDefault="00EF177D" w:rsidP="00EF177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B5F1E" w:rsidRDefault="005B5F1E" w:rsidP="00EF177D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  <w:sectPr w:rsidR="005B5F1E" w:rsidSect="004439CE">
          <w:pgSz w:w="11907" w:h="16840" w:code="9"/>
          <w:pgMar w:top="851" w:right="709" w:bottom="851" w:left="1134" w:header="709" w:footer="709" w:gutter="0"/>
          <w:cols w:space="708"/>
          <w:docGrid w:linePitch="360"/>
        </w:sectPr>
      </w:pPr>
    </w:p>
    <w:p w:rsidR="00EF177D" w:rsidRPr="00920E99" w:rsidRDefault="00EF177D" w:rsidP="005D0640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20E9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 w:rsidR="00AE2043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Pr="00920E99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EF177D" w:rsidRPr="00920E99" w:rsidRDefault="00EF177D" w:rsidP="005D0640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/>
          <w:b w:val="0"/>
          <w:sz w:val="28"/>
          <w:szCs w:val="28"/>
          <w:lang w:eastAsia="ar-SA"/>
        </w:rPr>
      </w:pPr>
      <w:r w:rsidRPr="00920E99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Pr="00920E99">
        <w:rPr>
          <w:rFonts w:ascii="Times New Roman" w:hAnsi="Times New Roman"/>
          <w:b w:val="0"/>
          <w:sz w:val="28"/>
          <w:szCs w:val="28"/>
          <w:lang w:eastAsia="ar-SA"/>
        </w:rPr>
        <w:t xml:space="preserve">Положению об организации </w:t>
      </w:r>
    </w:p>
    <w:p w:rsidR="00EF177D" w:rsidRPr="00920E99" w:rsidRDefault="00EF177D" w:rsidP="005D0640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/>
          <w:b w:val="0"/>
          <w:sz w:val="28"/>
          <w:szCs w:val="28"/>
          <w:lang w:eastAsia="ar-SA"/>
        </w:rPr>
      </w:pPr>
      <w:r w:rsidRPr="00920E99">
        <w:rPr>
          <w:rFonts w:ascii="Times New Roman" w:hAnsi="Times New Roman"/>
          <w:b w:val="0"/>
          <w:sz w:val="28"/>
          <w:szCs w:val="28"/>
          <w:lang w:eastAsia="ar-SA"/>
        </w:rPr>
        <w:t xml:space="preserve">системы внутреннего обеспечения </w:t>
      </w:r>
    </w:p>
    <w:p w:rsidR="00EF177D" w:rsidRPr="00920E99" w:rsidRDefault="00EF177D" w:rsidP="005D0640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/>
          <w:b w:val="0"/>
          <w:sz w:val="28"/>
          <w:szCs w:val="28"/>
          <w:lang w:eastAsia="ar-SA"/>
        </w:rPr>
      </w:pPr>
      <w:r w:rsidRPr="00920E99">
        <w:rPr>
          <w:rFonts w:ascii="Times New Roman" w:hAnsi="Times New Roman"/>
          <w:b w:val="0"/>
          <w:sz w:val="28"/>
          <w:szCs w:val="28"/>
          <w:lang w:eastAsia="ar-SA"/>
        </w:rPr>
        <w:t xml:space="preserve">соответствия требованиям </w:t>
      </w:r>
    </w:p>
    <w:p w:rsidR="00EF177D" w:rsidRPr="00920E99" w:rsidRDefault="00EF177D" w:rsidP="005D0640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/>
          <w:b w:val="0"/>
          <w:sz w:val="28"/>
          <w:szCs w:val="28"/>
          <w:lang w:eastAsia="ar-SA"/>
        </w:rPr>
      </w:pPr>
      <w:r w:rsidRPr="00920E99">
        <w:rPr>
          <w:rFonts w:ascii="Times New Roman" w:hAnsi="Times New Roman"/>
          <w:b w:val="0"/>
          <w:sz w:val="28"/>
          <w:szCs w:val="28"/>
          <w:lang w:eastAsia="ar-SA"/>
        </w:rPr>
        <w:t xml:space="preserve">антимонопольного законодательства </w:t>
      </w:r>
    </w:p>
    <w:p w:rsidR="00EF177D" w:rsidRPr="00920E99" w:rsidRDefault="00EF177D" w:rsidP="00920E99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/>
          <w:b w:val="0"/>
          <w:sz w:val="28"/>
          <w:szCs w:val="28"/>
          <w:lang w:eastAsia="ar-SA"/>
        </w:rPr>
      </w:pPr>
      <w:r w:rsidRPr="00920E99">
        <w:rPr>
          <w:rFonts w:ascii="Times New Roman" w:hAnsi="Times New Roman"/>
          <w:b w:val="0"/>
          <w:sz w:val="28"/>
          <w:szCs w:val="28"/>
          <w:lang w:eastAsia="ar-SA"/>
        </w:rPr>
        <w:t xml:space="preserve">в </w:t>
      </w:r>
      <w:r w:rsidR="00920E99">
        <w:rPr>
          <w:rFonts w:ascii="Times New Roman" w:hAnsi="Times New Roman"/>
          <w:b w:val="0"/>
          <w:sz w:val="28"/>
          <w:szCs w:val="28"/>
          <w:lang w:eastAsia="ar-SA"/>
        </w:rPr>
        <w:t>Министерстве юстиции</w:t>
      </w:r>
      <w:r w:rsidRPr="00920E99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="005D0640" w:rsidRPr="00920E99">
        <w:rPr>
          <w:rFonts w:ascii="Times New Roman" w:hAnsi="Times New Roman"/>
          <w:b w:val="0"/>
          <w:sz w:val="28"/>
          <w:szCs w:val="28"/>
          <w:lang w:eastAsia="ar-SA"/>
        </w:rPr>
        <w:t>Республики Дагестан</w:t>
      </w:r>
      <w:r w:rsidRPr="00920E99">
        <w:rPr>
          <w:rFonts w:ascii="Times New Roman" w:hAnsi="Times New Roman"/>
          <w:b w:val="0"/>
          <w:sz w:val="28"/>
          <w:szCs w:val="28"/>
          <w:lang w:eastAsia="ar-SA"/>
        </w:rPr>
        <w:t>,</w:t>
      </w:r>
    </w:p>
    <w:p w:rsidR="005D0640" w:rsidRPr="00920E99" w:rsidRDefault="00EF177D" w:rsidP="00920E99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/>
          <w:b w:val="0"/>
          <w:sz w:val="28"/>
          <w:szCs w:val="28"/>
          <w:lang w:eastAsia="ar-SA"/>
        </w:rPr>
      </w:pPr>
      <w:r w:rsidRPr="00920E99">
        <w:rPr>
          <w:rFonts w:ascii="Times New Roman" w:hAnsi="Times New Roman"/>
          <w:b w:val="0"/>
          <w:sz w:val="28"/>
          <w:szCs w:val="28"/>
          <w:lang w:eastAsia="ar-SA"/>
        </w:rPr>
        <w:t xml:space="preserve">утвержденному приказом </w:t>
      </w:r>
      <w:r w:rsidR="00920E99">
        <w:rPr>
          <w:rFonts w:ascii="Times New Roman" w:hAnsi="Times New Roman"/>
          <w:b w:val="0"/>
          <w:sz w:val="28"/>
          <w:szCs w:val="28"/>
          <w:lang w:eastAsia="ar-SA"/>
        </w:rPr>
        <w:t>Министерства юстиции</w:t>
      </w:r>
    </w:p>
    <w:p w:rsidR="00EF177D" w:rsidRPr="00920E99" w:rsidRDefault="00EF177D" w:rsidP="005D0640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/>
          <w:b w:val="0"/>
          <w:sz w:val="28"/>
          <w:szCs w:val="28"/>
          <w:lang w:eastAsia="ar-SA"/>
        </w:rPr>
      </w:pPr>
      <w:r w:rsidRPr="00920E99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="005D0640" w:rsidRPr="00920E99">
        <w:rPr>
          <w:rFonts w:ascii="Times New Roman" w:hAnsi="Times New Roman"/>
          <w:b w:val="0"/>
          <w:sz w:val="28"/>
          <w:szCs w:val="28"/>
          <w:lang w:eastAsia="ar-SA"/>
        </w:rPr>
        <w:t>Республики Дагестан</w:t>
      </w:r>
    </w:p>
    <w:p w:rsidR="005D0640" w:rsidRPr="00920E99" w:rsidRDefault="005D0640" w:rsidP="005D0640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E99">
        <w:rPr>
          <w:rFonts w:ascii="Times New Roman" w:eastAsia="Times New Roman" w:hAnsi="Times New Roman"/>
          <w:sz w:val="28"/>
          <w:szCs w:val="28"/>
          <w:lang w:eastAsia="ru-RU"/>
        </w:rPr>
        <w:t>от  ___  февраля  2019 г</w:t>
      </w:r>
      <w:r w:rsidR="00920E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20E99">
        <w:rPr>
          <w:rFonts w:ascii="Times New Roman" w:eastAsia="Times New Roman" w:hAnsi="Times New Roman"/>
          <w:sz w:val="28"/>
          <w:szCs w:val="28"/>
          <w:lang w:eastAsia="ru-RU"/>
        </w:rPr>
        <w:t xml:space="preserve"> №_____</w:t>
      </w:r>
    </w:p>
    <w:p w:rsidR="00EF177D" w:rsidRDefault="00EF177D" w:rsidP="00EF177D">
      <w:pPr>
        <w:pStyle w:val="ConsPlusNormal"/>
        <w:tabs>
          <w:tab w:val="left" w:pos="851"/>
        </w:tabs>
        <w:ind w:left="284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20E99" w:rsidRPr="00EF177D" w:rsidRDefault="00920E99" w:rsidP="00EF177D">
      <w:pPr>
        <w:pStyle w:val="ConsPlusNormal"/>
        <w:tabs>
          <w:tab w:val="left" w:pos="851"/>
        </w:tabs>
        <w:ind w:left="284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F177D" w:rsidRPr="00EF177D" w:rsidRDefault="00EF177D" w:rsidP="00920E99">
      <w:pPr>
        <w:pStyle w:val="ConsPlusNormal"/>
        <w:tabs>
          <w:tab w:val="left" w:pos="851"/>
        </w:tabs>
        <w:ind w:left="284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77D">
        <w:rPr>
          <w:rFonts w:ascii="Times New Roman" w:hAnsi="Times New Roman" w:cs="Times New Roman"/>
          <w:b w:val="0"/>
          <w:sz w:val="28"/>
          <w:szCs w:val="28"/>
        </w:rPr>
        <w:t>Карта рисков</w:t>
      </w:r>
    </w:p>
    <w:p w:rsidR="00EF177D" w:rsidRPr="00EF177D" w:rsidRDefault="00EF177D" w:rsidP="00EF177D">
      <w:pPr>
        <w:pStyle w:val="ConsPlusNormal"/>
        <w:tabs>
          <w:tab w:val="left" w:pos="851"/>
        </w:tabs>
        <w:ind w:left="284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426"/>
        <w:gridCol w:w="1842"/>
        <w:gridCol w:w="1560"/>
        <w:gridCol w:w="2126"/>
        <w:gridCol w:w="3118"/>
        <w:gridCol w:w="2977"/>
        <w:gridCol w:w="3119"/>
      </w:tblGrid>
      <w:tr w:rsidR="00EF177D" w:rsidRPr="00EF177D" w:rsidTr="005B5F1E">
        <w:tc>
          <w:tcPr>
            <w:tcW w:w="426" w:type="dxa"/>
          </w:tcPr>
          <w:p w:rsidR="00EF177D" w:rsidRPr="00EF177D" w:rsidRDefault="00EF177D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177D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1842" w:type="dxa"/>
          </w:tcPr>
          <w:p w:rsidR="00EF177D" w:rsidRPr="00EF177D" w:rsidRDefault="00920E99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Выявлен</w:t>
            </w:r>
            <w:r w:rsidR="00EF177D" w:rsidRPr="00EF177D">
              <w:rPr>
                <w:rFonts w:ascii="Times New Roman" w:hAnsi="Times New Roman" w:cs="Times New Roman"/>
                <w:b w:val="0"/>
                <w:sz w:val="28"/>
                <w:szCs w:val="28"/>
              </w:rPr>
              <w:t>ные риски</w:t>
            </w:r>
          </w:p>
        </w:tc>
        <w:tc>
          <w:tcPr>
            <w:tcW w:w="1560" w:type="dxa"/>
          </w:tcPr>
          <w:p w:rsidR="00EF177D" w:rsidRPr="00EF177D" w:rsidRDefault="00920E99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Описа</w:t>
            </w:r>
            <w:r w:rsidR="00EF177D" w:rsidRPr="00EF177D">
              <w:rPr>
                <w:rFonts w:ascii="Times New Roman" w:hAnsi="Times New Roman" w:cs="Times New Roman"/>
                <w:b w:val="0"/>
                <w:sz w:val="28"/>
                <w:szCs w:val="28"/>
              </w:rPr>
              <w:t>ние рисков</w:t>
            </w:r>
          </w:p>
        </w:tc>
        <w:tc>
          <w:tcPr>
            <w:tcW w:w="2126" w:type="dxa"/>
          </w:tcPr>
          <w:p w:rsidR="00EF177D" w:rsidRPr="00EF177D" w:rsidRDefault="00EF177D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177D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Причины возникновения рисков</w:t>
            </w:r>
          </w:p>
        </w:tc>
        <w:tc>
          <w:tcPr>
            <w:tcW w:w="3118" w:type="dxa"/>
          </w:tcPr>
          <w:p w:rsidR="00EF177D" w:rsidRPr="00EF177D" w:rsidRDefault="00EF177D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177D">
              <w:rPr>
                <w:rFonts w:ascii="Times New Roman" w:hAnsi="Times New Roman" w:cs="Times New Roman"/>
                <w:b w:val="0"/>
                <w:sz w:val="28"/>
                <w:szCs w:val="28"/>
              </w:rPr>
              <w:t>Мероприятия по минимизации и устранению рисков</w:t>
            </w:r>
          </w:p>
        </w:tc>
        <w:tc>
          <w:tcPr>
            <w:tcW w:w="2977" w:type="dxa"/>
          </w:tcPr>
          <w:p w:rsidR="00EF177D" w:rsidRPr="00EF177D" w:rsidRDefault="00EF177D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177D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Наличие (отсутствие) остаточных рисков</w:t>
            </w:r>
          </w:p>
        </w:tc>
        <w:tc>
          <w:tcPr>
            <w:tcW w:w="3119" w:type="dxa"/>
          </w:tcPr>
          <w:p w:rsidR="00EF177D" w:rsidRPr="00EF177D" w:rsidRDefault="00EF177D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177D">
              <w:rPr>
                <w:rFonts w:ascii="Times New Roman" w:hAnsi="Times New Roman" w:cs="Times New Roman"/>
                <w:b w:val="0"/>
                <w:sz w:val="28"/>
                <w:szCs w:val="28"/>
              </w:rPr>
              <w:t>Вероятность повторного возникновения рисков</w:t>
            </w:r>
          </w:p>
        </w:tc>
      </w:tr>
      <w:tr w:rsidR="00EF177D" w:rsidRPr="00EF177D" w:rsidTr="005B5F1E">
        <w:tc>
          <w:tcPr>
            <w:tcW w:w="426" w:type="dxa"/>
          </w:tcPr>
          <w:p w:rsidR="00EF177D" w:rsidRPr="00EF177D" w:rsidRDefault="00EF177D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F177D" w:rsidRPr="00EF177D" w:rsidRDefault="00EF177D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EF177D" w:rsidRPr="00EF177D" w:rsidRDefault="00EF177D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F177D" w:rsidRPr="00EF177D" w:rsidRDefault="00EF177D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118" w:type="dxa"/>
          </w:tcPr>
          <w:p w:rsidR="00EF177D" w:rsidRPr="00EF177D" w:rsidRDefault="00EF177D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977" w:type="dxa"/>
          </w:tcPr>
          <w:p w:rsidR="00EF177D" w:rsidRPr="00EF177D" w:rsidRDefault="00EF177D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119" w:type="dxa"/>
          </w:tcPr>
          <w:p w:rsidR="00EF177D" w:rsidRPr="00EF177D" w:rsidRDefault="00EF177D" w:rsidP="00EF177D">
            <w:pPr>
              <w:pStyle w:val="ConsPlusNormal"/>
              <w:tabs>
                <w:tab w:val="left" w:pos="851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EF177D" w:rsidRDefault="00EF177D" w:rsidP="00EF177D">
      <w:pPr>
        <w:pStyle w:val="ConsPlusNormal"/>
        <w:tabs>
          <w:tab w:val="left" w:pos="851"/>
        </w:tabs>
        <w:ind w:left="284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EF177D" w:rsidRDefault="00EF177D" w:rsidP="00EF177D">
      <w:pPr>
        <w:pStyle w:val="ConsPlusNormal"/>
        <w:tabs>
          <w:tab w:val="left" w:pos="851"/>
        </w:tabs>
        <w:ind w:left="284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EF177D" w:rsidRDefault="00EF177D" w:rsidP="00EF177D">
      <w:pPr>
        <w:pStyle w:val="ConsPlusNormal"/>
        <w:tabs>
          <w:tab w:val="left" w:pos="851"/>
        </w:tabs>
        <w:ind w:left="284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  <w:sectPr w:rsidR="00EF177D" w:rsidSect="005B5F1E">
          <w:pgSz w:w="16840" w:h="11907" w:orient="landscape" w:code="9"/>
          <w:pgMar w:top="1134" w:right="851" w:bottom="709" w:left="851" w:header="709" w:footer="709" w:gutter="0"/>
          <w:cols w:space="708"/>
          <w:docGrid w:linePitch="360"/>
        </w:sectPr>
      </w:pPr>
    </w:p>
    <w:p w:rsidR="00920E99" w:rsidRPr="00920E99" w:rsidRDefault="00920E99" w:rsidP="00920E99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20E99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 w:rsidR="00AE2043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Pr="00920E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920E99" w:rsidRPr="00920E99" w:rsidRDefault="00920E99" w:rsidP="00920E99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/>
          <w:b w:val="0"/>
          <w:sz w:val="28"/>
          <w:szCs w:val="28"/>
          <w:lang w:eastAsia="ar-SA"/>
        </w:rPr>
      </w:pPr>
      <w:r w:rsidRPr="00920E99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Pr="00920E99">
        <w:rPr>
          <w:rFonts w:ascii="Times New Roman" w:hAnsi="Times New Roman"/>
          <w:b w:val="0"/>
          <w:sz w:val="28"/>
          <w:szCs w:val="28"/>
          <w:lang w:eastAsia="ar-SA"/>
        </w:rPr>
        <w:t xml:space="preserve">Положению об организации </w:t>
      </w:r>
    </w:p>
    <w:p w:rsidR="00920E99" w:rsidRPr="00920E99" w:rsidRDefault="00920E99" w:rsidP="00920E99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/>
          <w:b w:val="0"/>
          <w:sz w:val="28"/>
          <w:szCs w:val="28"/>
          <w:lang w:eastAsia="ar-SA"/>
        </w:rPr>
      </w:pPr>
      <w:r w:rsidRPr="00920E99">
        <w:rPr>
          <w:rFonts w:ascii="Times New Roman" w:hAnsi="Times New Roman"/>
          <w:b w:val="0"/>
          <w:sz w:val="28"/>
          <w:szCs w:val="28"/>
          <w:lang w:eastAsia="ar-SA"/>
        </w:rPr>
        <w:t xml:space="preserve">системы внутреннего обеспечения </w:t>
      </w:r>
    </w:p>
    <w:p w:rsidR="00920E99" w:rsidRPr="00920E99" w:rsidRDefault="00920E99" w:rsidP="00920E99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/>
          <w:b w:val="0"/>
          <w:sz w:val="28"/>
          <w:szCs w:val="28"/>
          <w:lang w:eastAsia="ar-SA"/>
        </w:rPr>
      </w:pPr>
      <w:r w:rsidRPr="00920E99">
        <w:rPr>
          <w:rFonts w:ascii="Times New Roman" w:hAnsi="Times New Roman"/>
          <w:b w:val="0"/>
          <w:sz w:val="28"/>
          <w:szCs w:val="28"/>
          <w:lang w:eastAsia="ar-SA"/>
        </w:rPr>
        <w:t xml:space="preserve">соответствия требованиям </w:t>
      </w:r>
    </w:p>
    <w:p w:rsidR="00920E99" w:rsidRPr="00920E99" w:rsidRDefault="00920E99" w:rsidP="00920E99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/>
          <w:b w:val="0"/>
          <w:sz w:val="28"/>
          <w:szCs w:val="28"/>
          <w:lang w:eastAsia="ar-SA"/>
        </w:rPr>
      </w:pPr>
      <w:r w:rsidRPr="00920E99">
        <w:rPr>
          <w:rFonts w:ascii="Times New Roman" w:hAnsi="Times New Roman"/>
          <w:b w:val="0"/>
          <w:sz w:val="28"/>
          <w:szCs w:val="28"/>
          <w:lang w:eastAsia="ar-SA"/>
        </w:rPr>
        <w:t xml:space="preserve">антимонопольного законодательства </w:t>
      </w:r>
    </w:p>
    <w:p w:rsidR="00920E99" w:rsidRPr="00920E99" w:rsidRDefault="00920E99" w:rsidP="00920E99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/>
          <w:b w:val="0"/>
          <w:sz w:val="28"/>
          <w:szCs w:val="28"/>
          <w:lang w:eastAsia="ar-SA"/>
        </w:rPr>
      </w:pPr>
      <w:r w:rsidRPr="00920E99">
        <w:rPr>
          <w:rFonts w:ascii="Times New Roman" w:hAnsi="Times New Roman"/>
          <w:b w:val="0"/>
          <w:sz w:val="28"/>
          <w:szCs w:val="28"/>
          <w:lang w:eastAsia="ar-SA"/>
        </w:rPr>
        <w:t xml:space="preserve">в </w:t>
      </w:r>
      <w:r>
        <w:rPr>
          <w:rFonts w:ascii="Times New Roman" w:hAnsi="Times New Roman"/>
          <w:b w:val="0"/>
          <w:sz w:val="28"/>
          <w:szCs w:val="28"/>
          <w:lang w:eastAsia="ar-SA"/>
        </w:rPr>
        <w:t>Министерстве юстиции</w:t>
      </w:r>
      <w:r w:rsidRPr="00920E99">
        <w:rPr>
          <w:rFonts w:ascii="Times New Roman" w:hAnsi="Times New Roman"/>
          <w:b w:val="0"/>
          <w:sz w:val="28"/>
          <w:szCs w:val="28"/>
          <w:lang w:eastAsia="ar-SA"/>
        </w:rPr>
        <w:t xml:space="preserve"> Республики Дагестан,</w:t>
      </w:r>
    </w:p>
    <w:p w:rsidR="00920E99" w:rsidRPr="00920E99" w:rsidRDefault="00920E99" w:rsidP="00920E99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/>
          <w:b w:val="0"/>
          <w:sz w:val="28"/>
          <w:szCs w:val="28"/>
          <w:lang w:eastAsia="ar-SA"/>
        </w:rPr>
      </w:pPr>
      <w:r w:rsidRPr="00920E99">
        <w:rPr>
          <w:rFonts w:ascii="Times New Roman" w:hAnsi="Times New Roman"/>
          <w:b w:val="0"/>
          <w:sz w:val="28"/>
          <w:szCs w:val="28"/>
          <w:lang w:eastAsia="ar-SA"/>
        </w:rPr>
        <w:t xml:space="preserve">утвержденному приказом </w:t>
      </w:r>
      <w:r>
        <w:rPr>
          <w:rFonts w:ascii="Times New Roman" w:hAnsi="Times New Roman"/>
          <w:b w:val="0"/>
          <w:sz w:val="28"/>
          <w:szCs w:val="28"/>
          <w:lang w:eastAsia="ar-SA"/>
        </w:rPr>
        <w:t>Министерства юстиции</w:t>
      </w:r>
    </w:p>
    <w:p w:rsidR="00920E99" w:rsidRPr="00920E99" w:rsidRDefault="00920E99" w:rsidP="00920E99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/>
          <w:b w:val="0"/>
          <w:sz w:val="28"/>
          <w:szCs w:val="28"/>
          <w:lang w:eastAsia="ar-SA"/>
        </w:rPr>
      </w:pPr>
      <w:r w:rsidRPr="00920E99">
        <w:rPr>
          <w:rFonts w:ascii="Times New Roman" w:hAnsi="Times New Roman"/>
          <w:b w:val="0"/>
          <w:sz w:val="28"/>
          <w:szCs w:val="28"/>
          <w:lang w:eastAsia="ar-SA"/>
        </w:rPr>
        <w:t xml:space="preserve"> Республики Дагестан</w:t>
      </w:r>
    </w:p>
    <w:p w:rsidR="00920E99" w:rsidRPr="00920E99" w:rsidRDefault="00920E99" w:rsidP="00920E99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E99">
        <w:rPr>
          <w:rFonts w:ascii="Times New Roman" w:eastAsia="Times New Roman" w:hAnsi="Times New Roman"/>
          <w:sz w:val="28"/>
          <w:szCs w:val="28"/>
          <w:lang w:eastAsia="ru-RU"/>
        </w:rPr>
        <w:t>от  ___  февраля  2019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20E99">
        <w:rPr>
          <w:rFonts w:ascii="Times New Roman" w:eastAsia="Times New Roman" w:hAnsi="Times New Roman"/>
          <w:sz w:val="28"/>
          <w:szCs w:val="28"/>
          <w:lang w:eastAsia="ru-RU"/>
        </w:rPr>
        <w:t xml:space="preserve"> №_____</w:t>
      </w:r>
    </w:p>
    <w:p w:rsidR="00EF177D" w:rsidRDefault="00EF177D" w:rsidP="00EF177D">
      <w:pPr>
        <w:pStyle w:val="ConsPlusNormal"/>
        <w:tabs>
          <w:tab w:val="left" w:pos="851"/>
        </w:tabs>
        <w:ind w:left="284"/>
        <w:jc w:val="right"/>
        <w:outlineLvl w:val="1"/>
        <w:rPr>
          <w:rFonts w:ascii="Times New Roman" w:hAnsi="Times New Roman" w:cs="Times New Roman"/>
          <w:sz w:val="28"/>
          <w:szCs w:val="26"/>
        </w:rPr>
      </w:pPr>
    </w:p>
    <w:p w:rsidR="00920E99" w:rsidRPr="002D5227" w:rsidRDefault="00920E99" w:rsidP="00EF177D">
      <w:pPr>
        <w:pStyle w:val="ConsPlusNormal"/>
        <w:tabs>
          <w:tab w:val="left" w:pos="851"/>
        </w:tabs>
        <w:ind w:left="284"/>
        <w:jc w:val="right"/>
        <w:outlineLvl w:val="1"/>
        <w:rPr>
          <w:rFonts w:ascii="Times New Roman" w:hAnsi="Times New Roman" w:cs="Times New Roman"/>
          <w:sz w:val="28"/>
          <w:szCs w:val="26"/>
        </w:rPr>
      </w:pPr>
    </w:p>
    <w:p w:rsidR="00EF177D" w:rsidRPr="002D5227" w:rsidRDefault="00EF177D" w:rsidP="00EF177D">
      <w:pPr>
        <w:pStyle w:val="ConsPlusNormal"/>
        <w:tabs>
          <w:tab w:val="left" w:pos="851"/>
        </w:tabs>
        <w:ind w:left="284"/>
        <w:jc w:val="center"/>
        <w:outlineLvl w:val="1"/>
        <w:rPr>
          <w:rFonts w:ascii="Times New Roman" w:hAnsi="Times New Roman" w:cs="Times New Roman"/>
          <w:b w:val="0"/>
          <w:sz w:val="28"/>
          <w:szCs w:val="26"/>
        </w:rPr>
      </w:pPr>
      <w:r w:rsidRPr="002D5227">
        <w:rPr>
          <w:rFonts w:ascii="Times New Roman" w:hAnsi="Times New Roman" w:cs="Times New Roman"/>
          <w:b w:val="0"/>
          <w:sz w:val="28"/>
          <w:szCs w:val="26"/>
        </w:rPr>
        <w:t xml:space="preserve">План мероприятий («дорожная карта») </w:t>
      </w:r>
    </w:p>
    <w:p w:rsidR="00EF177D" w:rsidRPr="002D5227" w:rsidRDefault="00EF177D" w:rsidP="00EF177D">
      <w:pPr>
        <w:pStyle w:val="ConsPlusNormal"/>
        <w:tabs>
          <w:tab w:val="left" w:pos="851"/>
        </w:tabs>
        <w:ind w:left="284"/>
        <w:jc w:val="center"/>
        <w:outlineLvl w:val="1"/>
        <w:rPr>
          <w:rFonts w:ascii="Times New Roman" w:hAnsi="Times New Roman" w:cs="Times New Roman"/>
          <w:b w:val="0"/>
          <w:sz w:val="28"/>
          <w:szCs w:val="26"/>
        </w:rPr>
      </w:pPr>
      <w:r w:rsidRPr="002D5227">
        <w:rPr>
          <w:rFonts w:ascii="Times New Roman" w:hAnsi="Times New Roman" w:cs="Times New Roman"/>
          <w:b w:val="0"/>
          <w:sz w:val="28"/>
          <w:szCs w:val="26"/>
        </w:rPr>
        <w:t>по снижению рисков нарушения антимонопольного законодательства</w:t>
      </w:r>
    </w:p>
    <w:p w:rsidR="00EF177D" w:rsidRPr="002D5227" w:rsidRDefault="00EF177D" w:rsidP="00EF177D">
      <w:pPr>
        <w:pStyle w:val="ConsPlusNormal"/>
        <w:tabs>
          <w:tab w:val="left" w:pos="851"/>
        </w:tabs>
        <w:ind w:left="284"/>
        <w:jc w:val="center"/>
        <w:outlineLvl w:val="1"/>
        <w:rPr>
          <w:rFonts w:ascii="Times New Roman" w:hAnsi="Times New Roman" w:cs="Times New Roman"/>
          <w:b w:val="0"/>
          <w:sz w:val="28"/>
          <w:szCs w:val="26"/>
        </w:rPr>
      </w:pPr>
    </w:p>
    <w:tbl>
      <w:tblPr>
        <w:tblStyle w:val="a6"/>
        <w:tblW w:w="0" w:type="auto"/>
        <w:tblInd w:w="284" w:type="dxa"/>
        <w:tblLook w:val="04A0"/>
      </w:tblPr>
      <w:tblGrid>
        <w:gridCol w:w="688"/>
        <w:gridCol w:w="2014"/>
        <w:gridCol w:w="1670"/>
        <w:gridCol w:w="2073"/>
        <w:gridCol w:w="1207"/>
        <w:gridCol w:w="1635"/>
      </w:tblGrid>
      <w:tr w:rsidR="00EF177D" w:rsidRPr="002D5227" w:rsidTr="0027728B">
        <w:tc>
          <w:tcPr>
            <w:tcW w:w="817" w:type="dxa"/>
          </w:tcPr>
          <w:p w:rsidR="00EF177D" w:rsidRPr="002D5227" w:rsidRDefault="00EF177D" w:rsidP="0027728B">
            <w:pPr>
              <w:pStyle w:val="ConsPlusNormal"/>
              <w:tabs>
                <w:tab w:val="left" w:pos="851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6"/>
              </w:rPr>
            </w:pPr>
            <w:r w:rsidRPr="002D5227">
              <w:rPr>
                <w:rFonts w:ascii="Times New Roman" w:hAnsi="Times New Roman" w:cs="Times New Roman"/>
                <w:b w:val="0"/>
                <w:sz w:val="28"/>
                <w:szCs w:val="26"/>
              </w:rPr>
              <w:t>№</w:t>
            </w:r>
          </w:p>
        </w:tc>
        <w:tc>
          <w:tcPr>
            <w:tcW w:w="2126" w:type="dxa"/>
          </w:tcPr>
          <w:p w:rsidR="00EF177D" w:rsidRPr="002D5227" w:rsidRDefault="00EF177D" w:rsidP="0027728B">
            <w:pPr>
              <w:pStyle w:val="ConsPlusNormal"/>
              <w:tabs>
                <w:tab w:val="left" w:pos="851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6"/>
              </w:rPr>
            </w:pPr>
            <w:r w:rsidRPr="002D5227">
              <w:rPr>
                <w:rFonts w:ascii="Times New Roman" w:hAnsi="Times New Roman" w:cs="Times New Roman"/>
                <w:b w:val="0"/>
                <w:sz w:val="28"/>
                <w:szCs w:val="26"/>
              </w:rPr>
              <w:t>Мероприятие</w:t>
            </w:r>
          </w:p>
        </w:tc>
        <w:tc>
          <w:tcPr>
            <w:tcW w:w="1845" w:type="dxa"/>
          </w:tcPr>
          <w:p w:rsidR="00EF177D" w:rsidRPr="002D5227" w:rsidRDefault="00EF177D" w:rsidP="0027728B">
            <w:pPr>
              <w:pStyle w:val="ConsPlusNormal"/>
              <w:tabs>
                <w:tab w:val="left" w:pos="851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6"/>
              </w:rPr>
            </w:pPr>
            <w:r w:rsidRPr="002D5227">
              <w:rPr>
                <w:rFonts w:ascii="Times New Roman" w:hAnsi="Times New Roman" w:cs="Times New Roman"/>
                <w:b w:val="0"/>
                <w:sz w:val="28"/>
                <w:szCs w:val="26"/>
              </w:rPr>
              <w:t>Описание действий</w:t>
            </w:r>
          </w:p>
        </w:tc>
        <w:tc>
          <w:tcPr>
            <w:tcW w:w="2081" w:type="dxa"/>
          </w:tcPr>
          <w:p w:rsidR="00EF177D" w:rsidRPr="002D5227" w:rsidRDefault="00EF177D" w:rsidP="0027728B">
            <w:pPr>
              <w:pStyle w:val="ConsPlusNormal"/>
              <w:tabs>
                <w:tab w:val="left" w:pos="851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6"/>
              </w:rPr>
            </w:pPr>
            <w:r w:rsidRPr="002D5227">
              <w:rPr>
                <w:rFonts w:ascii="Times New Roman" w:hAnsi="Times New Roman" w:cs="Times New Roman"/>
                <w:b w:val="0"/>
                <w:sz w:val="28"/>
                <w:szCs w:val="26"/>
              </w:rPr>
              <w:t>Ответственный</w:t>
            </w:r>
          </w:p>
        </w:tc>
        <w:tc>
          <w:tcPr>
            <w:tcW w:w="1450" w:type="dxa"/>
          </w:tcPr>
          <w:p w:rsidR="00EF177D" w:rsidRPr="002D5227" w:rsidRDefault="00EF177D" w:rsidP="0027728B">
            <w:pPr>
              <w:pStyle w:val="ConsPlusNormal"/>
              <w:tabs>
                <w:tab w:val="left" w:pos="851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6"/>
              </w:rPr>
            </w:pPr>
            <w:r w:rsidRPr="002D5227">
              <w:rPr>
                <w:rFonts w:ascii="Times New Roman" w:hAnsi="Times New Roman" w:cs="Times New Roman"/>
                <w:b w:val="0"/>
                <w:sz w:val="28"/>
                <w:szCs w:val="26"/>
              </w:rPr>
              <w:t>Срок</w:t>
            </w:r>
          </w:p>
        </w:tc>
        <w:tc>
          <w:tcPr>
            <w:tcW w:w="1677" w:type="dxa"/>
          </w:tcPr>
          <w:p w:rsidR="00EF177D" w:rsidRPr="002D5227" w:rsidRDefault="00EF177D" w:rsidP="0027728B">
            <w:pPr>
              <w:pStyle w:val="ConsPlusNormal"/>
              <w:tabs>
                <w:tab w:val="left" w:pos="851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6"/>
              </w:rPr>
            </w:pPr>
            <w:r w:rsidRPr="002D5227">
              <w:rPr>
                <w:rFonts w:ascii="Times New Roman" w:hAnsi="Times New Roman" w:cs="Times New Roman"/>
                <w:b w:val="0"/>
                <w:sz w:val="28"/>
                <w:szCs w:val="26"/>
              </w:rPr>
              <w:t>Показатель</w:t>
            </w:r>
          </w:p>
        </w:tc>
      </w:tr>
      <w:tr w:rsidR="00EF177D" w:rsidTr="0027728B">
        <w:tc>
          <w:tcPr>
            <w:tcW w:w="817" w:type="dxa"/>
          </w:tcPr>
          <w:p w:rsidR="00EF177D" w:rsidRDefault="00EF177D" w:rsidP="0027728B">
            <w:pPr>
              <w:pStyle w:val="ConsPlusNormal"/>
              <w:tabs>
                <w:tab w:val="left" w:pos="851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126" w:type="dxa"/>
          </w:tcPr>
          <w:p w:rsidR="00EF177D" w:rsidRDefault="00EF177D" w:rsidP="0027728B">
            <w:pPr>
              <w:pStyle w:val="ConsPlusNormal"/>
              <w:tabs>
                <w:tab w:val="left" w:pos="851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845" w:type="dxa"/>
          </w:tcPr>
          <w:p w:rsidR="00EF177D" w:rsidRDefault="00EF177D" w:rsidP="0027728B">
            <w:pPr>
              <w:pStyle w:val="ConsPlusNormal"/>
              <w:tabs>
                <w:tab w:val="left" w:pos="851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081" w:type="dxa"/>
          </w:tcPr>
          <w:p w:rsidR="00EF177D" w:rsidRDefault="00EF177D" w:rsidP="0027728B">
            <w:pPr>
              <w:pStyle w:val="ConsPlusNormal"/>
              <w:tabs>
                <w:tab w:val="left" w:pos="851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450" w:type="dxa"/>
          </w:tcPr>
          <w:p w:rsidR="00EF177D" w:rsidRDefault="00EF177D" w:rsidP="0027728B">
            <w:pPr>
              <w:pStyle w:val="ConsPlusNormal"/>
              <w:tabs>
                <w:tab w:val="left" w:pos="851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677" w:type="dxa"/>
          </w:tcPr>
          <w:p w:rsidR="00EF177D" w:rsidRDefault="00EF177D" w:rsidP="0027728B">
            <w:pPr>
              <w:pStyle w:val="ConsPlusNormal"/>
              <w:tabs>
                <w:tab w:val="left" w:pos="851"/>
              </w:tabs>
              <w:jc w:val="center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EF177D" w:rsidRDefault="00EF177D" w:rsidP="00EF177D">
      <w:pPr>
        <w:pStyle w:val="ConsPlusNormal"/>
        <w:tabs>
          <w:tab w:val="left" w:pos="851"/>
        </w:tabs>
        <w:ind w:left="284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3B0473" w:rsidRDefault="003B0473" w:rsidP="00EF177D">
      <w:pPr>
        <w:widowControl w:val="0"/>
        <w:autoSpaceDE w:val="0"/>
        <w:autoSpaceDN w:val="0"/>
        <w:adjustRightInd w:val="0"/>
        <w:spacing w:after="0" w:line="240" w:lineRule="auto"/>
      </w:pPr>
    </w:p>
    <w:sectPr w:rsidR="003B0473" w:rsidSect="00DA0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3B0473"/>
    <w:rsid w:val="000151F0"/>
    <w:rsid w:val="00067F51"/>
    <w:rsid w:val="000823BC"/>
    <w:rsid w:val="00087366"/>
    <w:rsid w:val="000B6E1A"/>
    <w:rsid w:val="000D324B"/>
    <w:rsid w:val="000E4F01"/>
    <w:rsid w:val="000E70D0"/>
    <w:rsid w:val="00112761"/>
    <w:rsid w:val="001312B7"/>
    <w:rsid w:val="001462CA"/>
    <w:rsid w:val="00150A16"/>
    <w:rsid w:val="001B095C"/>
    <w:rsid w:val="001D745F"/>
    <w:rsid w:val="001D7988"/>
    <w:rsid w:val="001F3B55"/>
    <w:rsid w:val="001F7303"/>
    <w:rsid w:val="001F7AC5"/>
    <w:rsid w:val="00207DD6"/>
    <w:rsid w:val="0025321C"/>
    <w:rsid w:val="00282423"/>
    <w:rsid w:val="002C29DF"/>
    <w:rsid w:val="002C3D70"/>
    <w:rsid w:val="002C66E6"/>
    <w:rsid w:val="002D5227"/>
    <w:rsid w:val="003277FA"/>
    <w:rsid w:val="003469FF"/>
    <w:rsid w:val="003710AB"/>
    <w:rsid w:val="00384DF1"/>
    <w:rsid w:val="00391825"/>
    <w:rsid w:val="00391CB4"/>
    <w:rsid w:val="003B0473"/>
    <w:rsid w:val="003F27D0"/>
    <w:rsid w:val="004439CE"/>
    <w:rsid w:val="004478E2"/>
    <w:rsid w:val="00454DB0"/>
    <w:rsid w:val="004730F1"/>
    <w:rsid w:val="004869F5"/>
    <w:rsid w:val="00486C62"/>
    <w:rsid w:val="0049651C"/>
    <w:rsid w:val="004D5CCD"/>
    <w:rsid w:val="0055329C"/>
    <w:rsid w:val="00570249"/>
    <w:rsid w:val="0057461D"/>
    <w:rsid w:val="00581767"/>
    <w:rsid w:val="005B0EA1"/>
    <w:rsid w:val="005B5B24"/>
    <w:rsid w:val="005B5F1E"/>
    <w:rsid w:val="005D0640"/>
    <w:rsid w:val="005E2815"/>
    <w:rsid w:val="005F6810"/>
    <w:rsid w:val="006229FA"/>
    <w:rsid w:val="00627840"/>
    <w:rsid w:val="006624AF"/>
    <w:rsid w:val="00671870"/>
    <w:rsid w:val="006742E3"/>
    <w:rsid w:val="006B2FEF"/>
    <w:rsid w:val="006F78BF"/>
    <w:rsid w:val="00700199"/>
    <w:rsid w:val="007122DA"/>
    <w:rsid w:val="007267FB"/>
    <w:rsid w:val="00740199"/>
    <w:rsid w:val="00741327"/>
    <w:rsid w:val="0074280A"/>
    <w:rsid w:val="00742C5B"/>
    <w:rsid w:val="007432C5"/>
    <w:rsid w:val="007A517E"/>
    <w:rsid w:val="00800CA0"/>
    <w:rsid w:val="0082728F"/>
    <w:rsid w:val="008370A4"/>
    <w:rsid w:val="008411B3"/>
    <w:rsid w:val="0084529B"/>
    <w:rsid w:val="00877811"/>
    <w:rsid w:val="008A4C00"/>
    <w:rsid w:val="008B20CA"/>
    <w:rsid w:val="008C119F"/>
    <w:rsid w:val="008E4A2F"/>
    <w:rsid w:val="00920E99"/>
    <w:rsid w:val="0092399C"/>
    <w:rsid w:val="009319DD"/>
    <w:rsid w:val="00973DF7"/>
    <w:rsid w:val="009C3F2C"/>
    <w:rsid w:val="009E5248"/>
    <w:rsid w:val="00A01F7D"/>
    <w:rsid w:val="00A221B8"/>
    <w:rsid w:val="00A2435D"/>
    <w:rsid w:val="00A2628C"/>
    <w:rsid w:val="00A428B8"/>
    <w:rsid w:val="00A60BA7"/>
    <w:rsid w:val="00AA4190"/>
    <w:rsid w:val="00AA4858"/>
    <w:rsid w:val="00AE2043"/>
    <w:rsid w:val="00B1016E"/>
    <w:rsid w:val="00B329B0"/>
    <w:rsid w:val="00B71520"/>
    <w:rsid w:val="00B71F52"/>
    <w:rsid w:val="00B82148"/>
    <w:rsid w:val="00B861EA"/>
    <w:rsid w:val="00BF0536"/>
    <w:rsid w:val="00C16639"/>
    <w:rsid w:val="00C4569C"/>
    <w:rsid w:val="00C53891"/>
    <w:rsid w:val="00C56DC8"/>
    <w:rsid w:val="00CB6BB5"/>
    <w:rsid w:val="00CD1F87"/>
    <w:rsid w:val="00D013B9"/>
    <w:rsid w:val="00D2030D"/>
    <w:rsid w:val="00D4215A"/>
    <w:rsid w:val="00D50BA8"/>
    <w:rsid w:val="00D7396D"/>
    <w:rsid w:val="00DA04CB"/>
    <w:rsid w:val="00DA4823"/>
    <w:rsid w:val="00DB0932"/>
    <w:rsid w:val="00DB701B"/>
    <w:rsid w:val="00DC79BC"/>
    <w:rsid w:val="00DC7E84"/>
    <w:rsid w:val="00DD56C5"/>
    <w:rsid w:val="00DD64C5"/>
    <w:rsid w:val="00DE5DC7"/>
    <w:rsid w:val="00DF04AA"/>
    <w:rsid w:val="00E563B0"/>
    <w:rsid w:val="00E80EC5"/>
    <w:rsid w:val="00E930F3"/>
    <w:rsid w:val="00EA32EF"/>
    <w:rsid w:val="00EA38B5"/>
    <w:rsid w:val="00EF177D"/>
    <w:rsid w:val="00EF5F72"/>
    <w:rsid w:val="00F27B07"/>
    <w:rsid w:val="00F67ED1"/>
    <w:rsid w:val="00F74F4B"/>
    <w:rsid w:val="00FB34B4"/>
    <w:rsid w:val="00FC789B"/>
    <w:rsid w:val="00FE6646"/>
    <w:rsid w:val="00FF115C"/>
    <w:rsid w:val="00FF2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CC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0473"/>
    <w:rPr>
      <w:color w:val="0000FF"/>
      <w:u w:val="single"/>
    </w:rPr>
  </w:style>
  <w:style w:type="paragraph" w:customStyle="1" w:styleId="ConsPlusNonformat">
    <w:name w:val="ConsPlusNonformat"/>
    <w:uiPriority w:val="99"/>
    <w:rsid w:val="003B04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2399C"/>
    <w:pPr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Balloon Text"/>
    <w:basedOn w:val="a"/>
    <w:link w:val="a5"/>
    <w:rsid w:val="0013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1312B7"/>
    <w:rPr>
      <w:rFonts w:ascii="Tahoma" w:eastAsia="Calibri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EF177D"/>
    <w:rPr>
      <w:rFonts w:asciiTheme="minorHAnsi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F177D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b/>
      <w:bCs/>
    </w:rPr>
  </w:style>
  <w:style w:type="character" w:customStyle="1" w:styleId="2">
    <w:name w:val="Основной текст (2) + Полужирный"/>
    <w:basedOn w:val="a0"/>
    <w:rsid w:val="00EF177D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0">
    <w:name w:val="Основной текст (2)"/>
    <w:basedOn w:val="a0"/>
    <w:rsid w:val="00EF177D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CC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0473"/>
    <w:rPr>
      <w:color w:val="0000FF"/>
      <w:u w:val="single"/>
    </w:rPr>
  </w:style>
  <w:style w:type="paragraph" w:customStyle="1" w:styleId="ConsPlusNonformat">
    <w:name w:val="ConsPlusNonformat"/>
    <w:rsid w:val="003B04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2399C"/>
    <w:pPr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Balloon Text"/>
    <w:basedOn w:val="a"/>
    <w:link w:val="a5"/>
    <w:rsid w:val="0013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1312B7"/>
    <w:rPr>
      <w:rFonts w:ascii="Tahoma" w:eastAsia="Calibri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EF177D"/>
    <w:rPr>
      <w:rFonts w:asciiTheme="minorHAnsi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F177D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b/>
      <w:bCs/>
    </w:rPr>
  </w:style>
  <w:style w:type="character" w:customStyle="1" w:styleId="2">
    <w:name w:val="Основной текст (2) + Полужирный"/>
    <w:basedOn w:val="a0"/>
    <w:rsid w:val="00EF177D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0">
    <w:name w:val="Основной текст (2)"/>
    <w:basedOn w:val="a0"/>
    <w:rsid w:val="00EF177D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2853</Words>
  <Characters>16264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19079</CharactersWithSpaces>
  <SharedDoc>false</SharedDoc>
  <HLinks>
    <vt:vector size="696" baseType="variant">
      <vt:variant>
        <vt:i4>5177357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consultantplus://offline/ref=F1AD148A6FC9F560BEF0054C635884832C4588D4C1C7BD98BE09E84912JF70M</vt:lpwstr>
      </vt:variant>
      <vt:variant>
        <vt:lpwstr/>
      </vt:variant>
      <vt:variant>
        <vt:i4>1114123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consultantplus://offline/ref=F1AD148A6FC9F560BEF01B417534D98A2B46D6D1C1CAB6CAE756B31445F97A3AE92D71A4C15224075AC7F4J279M</vt:lpwstr>
      </vt:variant>
      <vt:variant>
        <vt:lpwstr/>
      </vt:variant>
      <vt:variant>
        <vt:i4>2293810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Par1082#Par1082</vt:lpwstr>
      </vt:variant>
      <vt:variant>
        <vt:i4>2293809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Par1081#Par1081</vt:lpwstr>
      </vt:variant>
      <vt:variant>
        <vt:i4>2293811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Par1073#Par1073</vt:lpwstr>
      </vt:variant>
      <vt:variant>
        <vt:i4>2293811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Par1083#Par1083</vt:lpwstr>
      </vt:variant>
      <vt:variant>
        <vt:i4>2293817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Par1079#Par1079</vt:lpwstr>
      </vt:variant>
      <vt:variant>
        <vt:i4>2293816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Par1078#Par1078</vt:lpwstr>
      </vt:variant>
      <vt:variant>
        <vt:i4>2293815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Par1077#Par1077</vt:lpwstr>
      </vt:variant>
      <vt:variant>
        <vt:i4>2293814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Par1076#Par1076</vt:lpwstr>
      </vt:variant>
      <vt:variant>
        <vt:i4>2293813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Par1075#Par1075</vt:lpwstr>
      </vt:variant>
      <vt:variant>
        <vt:i4>2293812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Par1074#Par1074</vt:lpwstr>
      </vt:variant>
      <vt:variant>
        <vt:i4>2293810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Par1072#Par1072</vt:lpwstr>
      </vt:variant>
      <vt:variant>
        <vt:i4>2293810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Par1082#Par1082</vt:lpwstr>
      </vt:variant>
      <vt:variant>
        <vt:i4>2293809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Par1081#Par1081</vt:lpwstr>
      </vt:variant>
      <vt:variant>
        <vt:i4>2293811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Par1073#Par1073</vt:lpwstr>
      </vt:variant>
      <vt:variant>
        <vt:i4>2293817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Par1079#Par1079</vt:lpwstr>
      </vt:variant>
      <vt:variant>
        <vt:i4>2293811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Par1083#Par1083</vt:lpwstr>
      </vt:variant>
      <vt:variant>
        <vt:i4>2293810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Par1072#Par1072</vt:lpwstr>
      </vt:variant>
      <vt:variant>
        <vt:i4>2293808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Par1080#Par1080</vt:lpwstr>
      </vt:variant>
      <vt:variant>
        <vt:i4>2293816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Par1078#Par1078</vt:lpwstr>
      </vt:variant>
      <vt:variant>
        <vt:i4>2293815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Par1077#Par1077</vt:lpwstr>
      </vt:variant>
      <vt:variant>
        <vt:i4>2293814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Par1076#Par1076</vt:lpwstr>
      </vt:variant>
      <vt:variant>
        <vt:i4>2293813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Par1075#Par1075</vt:lpwstr>
      </vt:variant>
      <vt:variant>
        <vt:i4>2293812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Par1074#Par1074</vt:lpwstr>
      </vt:variant>
      <vt:variant>
        <vt:i4>2293809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Par1081#Par1081</vt:lpwstr>
      </vt:variant>
      <vt:variant>
        <vt:i4>2293808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Par1080#Par1080</vt:lpwstr>
      </vt:variant>
      <vt:variant>
        <vt:i4>5177436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consultantplus://offline/ref=F1AD148A6FC9F560BEF0054C635884832C4589D5C5CBBD98BE09E84912JF70M</vt:lpwstr>
      </vt:variant>
      <vt:variant>
        <vt:lpwstr/>
      </vt:variant>
      <vt:variant>
        <vt:i4>5177436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consultantplus://offline/ref=F1AD148A6FC9F560BEF0054C635884832C4589D5C5CBBD98BE09E84912JF70M</vt:lpwstr>
      </vt:variant>
      <vt:variant>
        <vt:lpwstr/>
      </vt:variant>
      <vt:variant>
        <vt:i4>2293809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Par1011#Par1011</vt:lpwstr>
      </vt:variant>
      <vt:variant>
        <vt:i4>2293808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Par1010#Par1010</vt:lpwstr>
      </vt:variant>
      <vt:variant>
        <vt:i4>2293814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Par1006#Par1006</vt:lpwstr>
      </vt:variant>
      <vt:variant>
        <vt:i4>2293813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Par1005#Par1005</vt:lpwstr>
      </vt:variant>
      <vt:variant>
        <vt:i4>5177438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consultantplus://offline/ref=F1AD148A6FC9F560BEF0054C635884832C4A88D9C4C8BD98BE09E84912JF70M</vt:lpwstr>
      </vt:variant>
      <vt:variant>
        <vt:lpwstr/>
      </vt:variant>
      <vt:variant>
        <vt:i4>1114116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consultantplus://offline/ref=F1AD148A6FC9F560BEF01B417534D98A2B46D6D1C1CAB6CAE756B31445F97A3AE92D71A4C15224075AC7F4J276M</vt:lpwstr>
      </vt:variant>
      <vt:variant>
        <vt:lpwstr/>
      </vt:variant>
      <vt:variant>
        <vt:i4>6029389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Par942#Par942</vt:lpwstr>
      </vt:variant>
      <vt:variant>
        <vt:i4>6029389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Par942#Par942</vt:lpwstr>
      </vt:variant>
      <vt:variant>
        <vt:i4>6160461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Par940#Par940</vt:lpwstr>
      </vt:variant>
      <vt:variant>
        <vt:i4>6160458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Par937#Par937</vt:lpwstr>
      </vt:variant>
      <vt:variant>
        <vt:i4>5898315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Par922#Par922</vt:lpwstr>
      </vt:variant>
      <vt:variant>
        <vt:i4>5832779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Par921#Par921</vt:lpwstr>
      </vt:variant>
      <vt:variant>
        <vt:i4>5177438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consultantplus://offline/ref=F1AD148A6FC9F560BEF0054C635884832C4A88D9C4C8BD98BE09E84912JF70M</vt:lpwstr>
      </vt:variant>
      <vt:variant>
        <vt:lpwstr/>
      </vt:variant>
      <vt:variant>
        <vt:i4>5177426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5177438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consultantplus://offline/ref=F1AD148A6FC9F560BEF0054C635884832C4A88D9C4C8BD98BE09E84912JF70M</vt:lpwstr>
      </vt:variant>
      <vt:variant>
        <vt:lpwstr/>
      </vt:variant>
      <vt:variant>
        <vt:i4>5177426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5177438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consultantplus://offline/ref=F1AD148A6FC9F560BEF0054C635884832C4A88D9C4C8BD98BE09E84912JF70M</vt:lpwstr>
      </vt:variant>
      <vt:variant>
        <vt:lpwstr/>
      </vt:variant>
      <vt:variant>
        <vt:i4>5177426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5177438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consultantplus://offline/ref=F1AD148A6FC9F560BEF0054C635884832C4A88D9C4C8BD98BE09E84912JF70M</vt:lpwstr>
      </vt:variant>
      <vt:variant>
        <vt:lpwstr/>
      </vt:variant>
      <vt:variant>
        <vt:i4>5177426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1114117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consultantplus://offline/ref=F1AD148A6FC9F560BEF01B417534D98A2B46D6D1C1CAB6CAE756B31445F97A3AE92D71A4C15224075AC7F4J277M</vt:lpwstr>
      </vt:variant>
      <vt:variant>
        <vt:lpwstr/>
      </vt:variant>
      <vt:variant>
        <vt:i4>5177344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1114120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consultantplus://offline/ref=F1AD148A6FC9F560BEF01B417534D98A2B46D6D1C1CAB6CAE456B31445F97A3AE92D71A4C15224075AC7F4J279M</vt:lpwstr>
      </vt:variant>
      <vt:variant>
        <vt:lpwstr/>
      </vt:variant>
      <vt:variant>
        <vt:i4>5177436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consultantplus://offline/ref=F1AD148A6FC9F560BEF0054C635884832C4589D5C5CBBD98BE09E84912JF70M</vt:lpwstr>
      </vt:variant>
      <vt:variant>
        <vt:lpwstr/>
      </vt:variant>
      <vt:variant>
        <vt:i4>5177436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consultantplus://offline/ref=F1AD148A6FC9F560BEF0054C635884832C4589D5C5CBBD98BE09E84912JF70M</vt:lpwstr>
      </vt:variant>
      <vt:variant>
        <vt:lpwstr/>
      </vt:variant>
      <vt:variant>
        <vt:i4>5308483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Par651#Par651</vt:lpwstr>
      </vt:variant>
      <vt:variant>
        <vt:i4>5242947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Par650#Par650</vt:lpwstr>
      </vt:variant>
      <vt:variant>
        <vt:i4>5767234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Par649#Par649</vt:lpwstr>
      </vt:variant>
      <vt:variant>
        <vt:i4>5439557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Par635#Par635</vt:lpwstr>
      </vt:variant>
      <vt:variant>
        <vt:i4>2555965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consultantplus://offline/ref=F1AD148A6FC9F560BEF0054C635884832C4A80D5C2CDBD98BE09E84912F0706DAE6228E6855F240EJ57AM</vt:lpwstr>
      </vt:variant>
      <vt:variant>
        <vt:lpwstr/>
      </vt:variant>
      <vt:variant>
        <vt:i4>1048660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consultantplus://offline/ref=F1AD148A6FC9F560BEF0054C635884832C4A80D5C2CDBD98BE09E84912F0706DAE6228E581J578M</vt:lpwstr>
      </vt:variant>
      <vt:variant>
        <vt:lpwstr/>
      </vt:variant>
      <vt:variant>
        <vt:i4>1114119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consultantplus://offline/ref=F1AD148A6FC9F560BEF01B417534D98A2B46D6D1C1CAB6CAE456B31445F97A3AE92D71A4C15224075AC7F4J276M</vt:lpwstr>
      </vt:variant>
      <vt:variant>
        <vt:lpwstr/>
      </vt:variant>
      <vt:variant>
        <vt:i4>5636173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Par588#Par588</vt:lpwstr>
      </vt:variant>
      <vt:variant>
        <vt:i4>5636173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Par588#Par588</vt:lpwstr>
      </vt:variant>
      <vt:variant>
        <vt:i4>5767245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Par586#Par586</vt:lpwstr>
      </vt:variant>
      <vt:variant>
        <vt:i4>6094925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Par583#Par583</vt:lpwstr>
      </vt:variant>
      <vt:variant>
        <vt:i4>5177344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5177426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5177344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5177426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5177344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5177426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5177344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5177426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1114118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consultantplus://offline/ref=F1AD148A6FC9F560BEF01B417534D98A2B46D6D1C1CAB6CAE456B31445F97A3AE92D71A4C15224075AC7F4J277M</vt:lpwstr>
      </vt:variant>
      <vt:variant>
        <vt:lpwstr/>
      </vt:variant>
      <vt:variant>
        <vt:i4>5701702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Par352#Par352</vt:lpwstr>
      </vt:variant>
      <vt:variant>
        <vt:i4>1114113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consultantplus://offline/ref=F1AD148A6FC9F560BEF01B417534D98A2B46D6D1C1CDB0CBE756B31445F97A3AE92D71A4C15224075AC7F5J272M</vt:lpwstr>
      </vt:variant>
      <vt:variant>
        <vt:lpwstr/>
      </vt:variant>
      <vt:variant>
        <vt:i4>5177357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consultantplus://offline/ref=F1AD148A6FC9F560BEF0054C635884832C4588D4C1C7BD98BE09E84912JF70M</vt:lpwstr>
      </vt:variant>
      <vt:variant>
        <vt:lpwstr/>
      </vt:variant>
      <vt:variant>
        <vt:i4>1114115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consultantplus://offline/ref=F1AD148A6FC9F560BEF01B417534D98A2B46D6D1C1CDB0CBE756B31445F97A3AE92D71A4C15224075AC7F5J270M</vt:lpwstr>
      </vt:variant>
      <vt:variant>
        <vt:lpwstr/>
      </vt:variant>
      <vt:variant>
        <vt:i4>5636167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Par162#Par162</vt:lpwstr>
      </vt:variant>
      <vt:variant>
        <vt:i4>5439556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Par154#Par154</vt:lpwstr>
      </vt:variant>
      <vt:variant>
        <vt:i4>1114114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consultantplus://offline/ref=F1AD148A6FC9F560BEF01B417534D98A2B46D6D1C1CDB0CBE756B31445F97A3AE92D71A4C15224075AC7F5J271M</vt:lpwstr>
      </vt:variant>
      <vt:variant>
        <vt:lpwstr/>
      </vt:variant>
      <vt:variant>
        <vt:i4>5308481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Par233#Par233</vt:lpwstr>
      </vt:variant>
      <vt:variant>
        <vt:i4>1114122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consultantplus://offline/ref=F1AD148A6FC9F560BEF01B417534D98A2B46D6D1C1CDB0CBE756B31445F97A3AE92D71A4C15224075AC7F4J278M</vt:lpwstr>
      </vt:variant>
      <vt:variant>
        <vt:lpwstr/>
      </vt:variant>
      <vt:variant>
        <vt:i4>1114123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consultantplus://offline/ref=F1AD148A6FC9F560BEF01B417534D98A2B46D6D1C1CDB0CBE756B31445F97A3AE92D71A4C15224075AC7F4J279M</vt:lpwstr>
      </vt:variant>
      <vt:variant>
        <vt:lpwstr/>
      </vt:variant>
      <vt:variant>
        <vt:i4>5177436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consultantplus://offline/ref=F1AD148A6FC9F560BEF0054C635884832C4589D5C5CBBD98BE09E84912JF70M</vt:lpwstr>
      </vt:variant>
      <vt:variant>
        <vt:lpwstr/>
      </vt:variant>
      <vt:variant>
        <vt:i4>5177436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consultantplus://offline/ref=F1AD148A6FC9F560BEF0054C635884832C4589D5C5CBBD98BE09E84912JF70M</vt:lpwstr>
      </vt:variant>
      <vt:variant>
        <vt:lpwstr/>
      </vt:variant>
      <vt:variant>
        <vt:i4>1114116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consultantplus://offline/ref=F1AD148A6FC9F560BEF01B417534D98A2B46D6D1C1CDB0CBE756B31445F97A3AE92D71A4C15224075AC7F4J276M</vt:lpwstr>
      </vt:variant>
      <vt:variant>
        <vt:lpwstr/>
      </vt:variant>
      <vt:variant>
        <vt:i4>5505091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Par214#Par214</vt:lpwstr>
      </vt:variant>
      <vt:variant>
        <vt:i4>5177344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consultantplus://offline/ref=F1AD148A6FC9F560BEF0054C635884832C4A8BDCC1CCBD98BE09E84912JF70M</vt:lpwstr>
      </vt:variant>
      <vt:variant>
        <vt:lpwstr/>
      </vt:variant>
      <vt:variant>
        <vt:i4>7602227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consultantplus://offline/ref=F1AD148A6FC9F560BEF01B417534D98A2B46D6D1C1CABFCFE556B31445F97A3AJE79M</vt:lpwstr>
      </vt:variant>
      <vt:variant>
        <vt:lpwstr/>
      </vt:variant>
      <vt:variant>
        <vt:i4>1376348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consultantplus://offline/ref=F1AD148A6FC9F560BEF0054C635884832F458FD9C898EA9AEF5CE6J47CM</vt:lpwstr>
      </vt:variant>
      <vt:variant>
        <vt:lpwstr/>
      </vt:variant>
      <vt:variant>
        <vt:i4>5177344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5177344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consultantplus://offline/ref=F1AD148A6FC9F560BEF0054C635884832C4A8BDCC1CCBD98BE09E84912JF70M</vt:lpwstr>
      </vt:variant>
      <vt:variant>
        <vt:lpwstr/>
      </vt:variant>
      <vt:variant>
        <vt:i4>5177426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5177344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5177344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consultantplus://offline/ref=F1AD148A6FC9F560BEF0054C635884832C4A8BDCC1CCBD98BE09E84912JF70M</vt:lpwstr>
      </vt:variant>
      <vt:variant>
        <vt:lpwstr/>
      </vt:variant>
      <vt:variant>
        <vt:i4>5177426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5177344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5177344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consultantplus://offline/ref=F1AD148A6FC9F560BEF0054C635884832C4A8BDCC1CCBD98BE09E84912JF70M</vt:lpwstr>
      </vt:variant>
      <vt:variant>
        <vt:lpwstr/>
      </vt:variant>
      <vt:variant>
        <vt:i4>5177426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5177344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5177344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consultantplus://offline/ref=F1AD148A6FC9F560BEF0054C635884832C4A8BDCC1CCBD98BE09E84912JF70M</vt:lpwstr>
      </vt:variant>
      <vt:variant>
        <vt:lpwstr/>
      </vt:variant>
      <vt:variant>
        <vt:i4>5177426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1114117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consultantplus://offline/ref=F1AD148A6FC9F560BEF01B417534D98A2B46D6D1C1CDB0CBE756B31445F97A3AE92D71A4C15224075AC7F4J277M</vt:lpwstr>
      </vt:variant>
      <vt:variant>
        <vt:lpwstr/>
      </vt:variant>
      <vt:variant>
        <vt:i4>5832783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Par785#Par785</vt:lpwstr>
      </vt:variant>
      <vt:variant>
        <vt:i4>5701702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Par422#Par422</vt:lpwstr>
      </vt:variant>
      <vt:variant>
        <vt:i4>2293809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Par51#Par51</vt:lpwstr>
      </vt:variant>
      <vt:variant>
        <vt:i4>7602225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consultantplus://offline/ref=F1AD148A6FC9F560BEF01B417534D98A2B46D6D1C2CDB2CAEB56B31445F97A3AJE79M</vt:lpwstr>
      </vt:variant>
      <vt:variant>
        <vt:lpwstr/>
      </vt:variant>
      <vt:variant>
        <vt:i4>5177438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consultantplus://offline/ref=F1AD148A6FC9F560BEF0054C635884832C4A88D9C4C8BD98BE09E84912JF70M</vt:lpwstr>
      </vt:variant>
      <vt:variant>
        <vt:lpwstr/>
      </vt:variant>
      <vt:variant>
        <vt:i4>5177344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5177344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consultantplus://offline/ref=F1AD148A6FC9F560BEF0054C635884832C4A8BDCC1CCBD98BE09E84912JF70M</vt:lpwstr>
      </vt:variant>
      <vt:variant>
        <vt:lpwstr/>
      </vt:variant>
      <vt:variant>
        <vt:i4>5177426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1114118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consultantplus://offline/ref=F1AD148A6FC9F560BEF01B417534D98A2B46D6D1C1CAB6CAE456B31445F97A3AE92D71A4C15224075AC7F4J277M</vt:lpwstr>
      </vt:variant>
      <vt:variant>
        <vt:lpwstr/>
      </vt:variant>
      <vt:variant>
        <vt:i4>1114117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consultantplus://offline/ref=F1AD148A6FC9F560BEF01B417534D98A2B46D6D1C1CAB6CAE756B31445F97A3AE92D71A4C15224075AC7F4J277M</vt:lpwstr>
      </vt:variant>
      <vt:variant>
        <vt:lpwstr/>
      </vt:variant>
      <vt:variant>
        <vt:i4>1114117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consultantplus://offline/ref=F1AD148A6FC9F560BEF01B417534D98A2B46D6D1C1CDB0CBE756B31445F97A3AE92D71A4C15224075AC7F4J277M</vt:lpwstr>
      </vt:variant>
      <vt:variant>
        <vt:lpwstr/>
      </vt:variant>
      <vt:variant>
        <vt:i4>1114118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consultantplus://offline/ref=F1AD148A6FC9F560BEF01B417534D98A2B46D6D1C1CDB7CCE156B31445F97A3AE92D71A4C15224075AC7F5J275M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2019-02-27T14:42:00Z</cp:lastPrinted>
  <dcterms:created xsi:type="dcterms:W3CDTF">2019-02-28T07:32:00Z</dcterms:created>
  <dcterms:modified xsi:type="dcterms:W3CDTF">2019-02-28T07:33:00Z</dcterms:modified>
</cp:coreProperties>
</file>